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A84A0D" w14:textId="411C1DB5" w:rsidR="00B45E22" w:rsidRPr="00844195" w:rsidRDefault="00B45E22" w:rsidP="00B45E22">
      <w:pPr>
        <w:pStyle w:val="Heading2"/>
        <w:rPr>
          <w:rFonts w:ascii="Times New Roman" w:hAnsi="Times New Roman"/>
        </w:rPr>
      </w:pPr>
      <w:bookmarkStart w:id="0" w:name="_Ref208483223"/>
      <w:bookmarkStart w:id="1" w:name="_Toc298503548"/>
      <w:r w:rsidRPr="00844195">
        <w:rPr>
          <w:rFonts w:ascii="Times New Roman" w:hAnsi="Times New Roman"/>
        </w:rPr>
        <w:t xml:space="preserve">Lab </w:t>
      </w:r>
      <w:r>
        <w:rPr>
          <w:rFonts w:ascii="Times New Roman" w:hAnsi="Times New Roman"/>
        </w:rPr>
        <w:t>4</w:t>
      </w:r>
      <w:r w:rsidRPr="00844195">
        <w:rPr>
          <w:rFonts w:ascii="Times New Roman" w:hAnsi="Times New Roman"/>
        </w:rPr>
        <w:t>.</w:t>
      </w:r>
      <w:r w:rsidR="00E1543D">
        <w:rPr>
          <w:rFonts w:ascii="Times New Roman" w:hAnsi="Times New Roman"/>
        </w:rPr>
        <w:t>2</w:t>
      </w:r>
      <w:r w:rsidRPr="00844195">
        <w:rPr>
          <w:rFonts w:ascii="Times New Roman" w:hAnsi="Times New Roman"/>
        </w:rPr>
        <w:t>:  Gene Expression Data Analysis</w:t>
      </w:r>
      <w:bookmarkEnd w:id="0"/>
      <w:bookmarkEnd w:id="1"/>
      <w:r w:rsidRPr="00844195">
        <w:rPr>
          <w:rFonts w:ascii="Times New Roman" w:hAnsi="Times New Roman"/>
        </w:rPr>
        <w:t xml:space="preserve"> </w:t>
      </w:r>
    </w:p>
    <w:p w14:paraId="5B2DADE3" w14:textId="266A5562" w:rsidR="00B45E22" w:rsidRPr="00844195" w:rsidRDefault="00B45E22" w:rsidP="00B45E22">
      <w:r w:rsidRPr="00844195">
        <w:t>The data will be made available to you as a compiled Excel spreadsheet.  You will use this period to mine the data and make decisions about controls, time-points, comparisons, etc., so that you can tease the answer to your question out of your mountain of data.</w:t>
      </w:r>
      <w:r w:rsidR="00377FE3">
        <w:t xml:space="preserve"> Note some of the steps below are optional. Make decisions about what you think needs to be done with the data to answer your question and test your hypothesis. </w:t>
      </w:r>
    </w:p>
    <w:p w14:paraId="0274BD27" w14:textId="77777777" w:rsidR="00B45E22" w:rsidRPr="00844195" w:rsidRDefault="00B45E22" w:rsidP="00B45E22">
      <w:pPr>
        <w:pStyle w:val="Heading3"/>
        <w:rPr>
          <w:rFonts w:ascii="Times New Roman" w:hAnsi="Times New Roman"/>
        </w:rPr>
      </w:pPr>
      <w:bookmarkStart w:id="2" w:name="_Toc177382541"/>
      <w:bookmarkStart w:id="3" w:name="_Toc177634097"/>
      <w:bookmarkStart w:id="4" w:name="_Toc177636017"/>
      <w:r w:rsidRPr="00844195">
        <w:rPr>
          <w:rFonts w:ascii="Times New Roman" w:hAnsi="Times New Roman"/>
        </w:rPr>
        <w:t>Suggestions for Mining the Data</w:t>
      </w:r>
    </w:p>
    <w:p w14:paraId="538932EB" w14:textId="77777777" w:rsidR="00B45E22" w:rsidRPr="00844195" w:rsidRDefault="00B45E22" w:rsidP="00B45E22">
      <w:pPr>
        <w:numPr>
          <w:ilvl w:val="0"/>
          <w:numId w:val="1"/>
        </w:numPr>
        <w:rPr>
          <w:b/>
        </w:rPr>
      </w:pPr>
      <w:r w:rsidRPr="00844195">
        <w:rPr>
          <w:b/>
        </w:rPr>
        <w:t>Manage your data file.</w:t>
      </w:r>
    </w:p>
    <w:p w14:paraId="51735297" w14:textId="77777777" w:rsidR="00B45E22" w:rsidRPr="00844195" w:rsidRDefault="00B45E22" w:rsidP="00B45E22">
      <w:pPr>
        <w:numPr>
          <w:ilvl w:val="1"/>
          <w:numId w:val="1"/>
        </w:numPr>
      </w:pPr>
      <w:r w:rsidRPr="00844195">
        <w:t>Copy the file to your desktop, save it as an Excel file, and work on it there.  Delete unneeded columns.</w:t>
      </w:r>
    </w:p>
    <w:p w14:paraId="503446F1" w14:textId="77777777" w:rsidR="00B45E22" w:rsidRPr="00844195" w:rsidRDefault="00B45E22" w:rsidP="00B45E22">
      <w:pPr>
        <w:numPr>
          <w:ilvl w:val="1"/>
          <w:numId w:val="1"/>
        </w:numPr>
      </w:pPr>
      <w:r w:rsidRPr="00844195">
        <w:t>Make quick-and-dirty scatterplots of OD vs. time and fluorescence vs. time, for all the plate rows you hope to use in your comparison, just so you get an overview of population growth and induction.  (You may discover wells or parts of the time course that have to be omitted for one reason or another.)</w:t>
      </w:r>
    </w:p>
    <w:p w14:paraId="00926E76" w14:textId="77777777" w:rsidR="00B45E22" w:rsidRPr="00844195" w:rsidRDefault="00B45E22" w:rsidP="00B45E22">
      <w:pPr>
        <w:numPr>
          <w:ilvl w:val="0"/>
          <w:numId w:val="1"/>
        </w:numPr>
      </w:pPr>
      <w:r w:rsidRPr="00844195">
        <w:rPr>
          <w:b/>
        </w:rPr>
        <w:t>Manage the time:</w:t>
      </w:r>
      <w:r w:rsidRPr="00844195">
        <w:t xml:space="preserve">  convert minutes to hours</w:t>
      </w:r>
    </w:p>
    <w:p w14:paraId="0CA44F5B" w14:textId="77777777" w:rsidR="00B45E22" w:rsidRPr="00844195" w:rsidRDefault="00B45E22" w:rsidP="00B45E22">
      <w:pPr>
        <w:numPr>
          <w:ilvl w:val="0"/>
          <w:numId w:val="1"/>
        </w:numPr>
        <w:rPr>
          <w:b/>
        </w:rPr>
      </w:pPr>
      <w:r w:rsidRPr="00844195">
        <w:rPr>
          <w:b/>
        </w:rPr>
        <w:t>Manage cell density and population size</w:t>
      </w:r>
    </w:p>
    <w:p w14:paraId="1685092A" w14:textId="77777777" w:rsidR="00B45E22" w:rsidRPr="00844195" w:rsidRDefault="00B45E22" w:rsidP="00B45E22">
      <w:pPr>
        <w:numPr>
          <w:ilvl w:val="1"/>
          <w:numId w:val="1"/>
        </w:numPr>
      </w:pPr>
      <w:r w:rsidRPr="00844195">
        <w:t>Correct for the OD of LB</w:t>
      </w:r>
    </w:p>
    <w:p w14:paraId="08BD4A98" w14:textId="583483BF" w:rsidR="00B45E22" w:rsidRPr="00844195" w:rsidRDefault="00B45E22" w:rsidP="00B45E22">
      <w:pPr>
        <w:numPr>
          <w:ilvl w:val="1"/>
          <w:numId w:val="1"/>
        </w:numPr>
      </w:pPr>
      <w:r w:rsidRPr="00844195">
        <w:t>Convert OD of the culture to cell concentration in millions of cells/mL</w:t>
      </w:r>
      <w:r w:rsidR="00377FE3">
        <w:t xml:space="preserve"> (remember your conversion factor from </w:t>
      </w:r>
      <w:r w:rsidR="0080205F">
        <w:t>Unit</w:t>
      </w:r>
      <w:r w:rsidR="00377FE3">
        <w:t xml:space="preserve"> 3?)</w:t>
      </w:r>
    </w:p>
    <w:p w14:paraId="60E35922" w14:textId="77777777" w:rsidR="00B45E22" w:rsidRPr="00844195" w:rsidRDefault="00B45E22" w:rsidP="00B45E22">
      <w:pPr>
        <w:numPr>
          <w:ilvl w:val="1"/>
          <w:numId w:val="1"/>
        </w:numPr>
      </w:pPr>
      <w:r w:rsidRPr="00844195">
        <w:t>Calculate the number of millions of cells in each 0.2 mL well.</w:t>
      </w:r>
    </w:p>
    <w:p w14:paraId="0CDF607B" w14:textId="77777777" w:rsidR="00B45E22" w:rsidRPr="00844195" w:rsidRDefault="00B45E22" w:rsidP="00B45E22">
      <w:pPr>
        <w:numPr>
          <w:ilvl w:val="0"/>
          <w:numId w:val="1"/>
        </w:numPr>
        <w:rPr>
          <w:b/>
        </w:rPr>
      </w:pPr>
      <w:r w:rsidRPr="00844195">
        <w:rPr>
          <w:b/>
        </w:rPr>
        <w:t>Manage the fluorescence</w:t>
      </w:r>
    </w:p>
    <w:p w14:paraId="708518DC" w14:textId="77777777" w:rsidR="00B45E22" w:rsidRPr="00844195" w:rsidRDefault="00B45E22" w:rsidP="00B45E22">
      <w:pPr>
        <w:numPr>
          <w:ilvl w:val="1"/>
          <w:numId w:val="1"/>
        </w:numPr>
      </w:pPr>
      <w:r w:rsidRPr="00844195">
        <w:t>Correct for any background fluorescence</w:t>
      </w:r>
      <w:bookmarkStart w:id="5" w:name="_GoBack"/>
      <w:bookmarkEnd w:id="5"/>
    </w:p>
    <w:p w14:paraId="3D17A962" w14:textId="77777777" w:rsidR="00B45E22" w:rsidRPr="00844195" w:rsidRDefault="00B45E22" w:rsidP="00B45E22">
      <w:pPr>
        <w:numPr>
          <w:ilvl w:val="1"/>
          <w:numId w:val="1"/>
        </w:numPr>
      </w:pPr>
      <w:r w:rsidRPr="00844195">
        <w:t>Correct for different population sizes by calculating the fluorescence per million cells in each well.</w:t>
      </w:r>
    </w:p>
    <w:p w14:paraId="4FC9D903" w14:textId="77777777" w:rsidR="00B45E22" w:rsidRPr="00844195" w:rsidRDefault="00B45E22" w:rsidP="00B45E22">
      <w:pPr>
        <w:numPr>
          <w:ilvl w:val="0"/>
          <w:numId w:val="1"/>
        </w:numPr>
        <w:rPr>
          <w:b/>
        </w:rPr>
      </w:pPr>
      <w:r w:rsidRPr="00844195">
        <w:rPr>
          <w:b/>
        </w:rPr>
        <w:t>Manage the sugars</w:t>
      </w:r>
    </w:p>
    <w:p w14:paraId="0D971BB7" w14:textId="2B8C67D1" w:rsidR="00B45E22" w:rsidRPr="00844195" w:rsidRDefault="00B45E22" w:rsidP="00B45E22">
      <w:pPr>
        <w:numPr>
          <w:ilvl w:val="1"/>
          <w:numId w:val="1"/>
        </w:numPr>
      </w:pPr>
      <w:r w:rsidRPr="00844195">
        <w:t>Calculate the concentration of each sugar in each well.</w:t>
      </w:r>
      <w:r w:rsidR="00377FE3">
        <w:t xml:space="preserve"> (you should already know this)</w:t>
      </w:r>
    </w:p>
    <w:p w14:paraId="790EE3DD" w14:textId="77777777" w:rsidR="00B45E22" w:rsidRPr="00844195" w:rsidRDefault="00B45E22" w:rsidP="00B45E22">
      <w:pPr>
        <w:numPr>
          <w:ilvl w:val="1"/>
          <w:numId w:val="1"/>
        </w:numPr>
      </w:pPr>
      <w:r w:rsidRPr="00844195">
        <w:t>Calculate the number of sugar molecules in each well at the start of the experiment.</w:t>
      </w:r>
    </w:p>
    <w:p w14:paraId="4B4891D1" w14:textId="77777777" w:rsidR="00B45E22" w:rsidRPr="00844195" w:rsidRDefault="00B45E22" w:rsidP="00B45E22">
      <w:pPr>
        <w:numPr>
          <w:ilvl w:val="0"/>
          <w:numId w:val="1"/>
        </w:numPr>
      </w:pPr>
      <w:r w:rsidRPr="00844195">
        <w:rPr>
          <w:b/>
        </w:rPr>
        <w:t>Choose the index</w:t>
      </w:r>
      <w:r w:rsidRPr="00844195">
        <w:t xml:space="preserve"> or indices that will best answer your question(s).  Depending on your particular investigation, </w:t>
      </w:r>
      <w:r w:rsidRPr="00377FE3">
        <w:rPr>
          <w:b/>
          <w:bCs/>
        </w:rPr>
        <w:t>you might choose:</w:t>
      </w:r>
    </w:p>
    <w:p w14:paraId="3A0ED492" w14:textId="77777777" w:rsidR="00B45E22" w:rsidRPr="00844195" w:rsidRDefault="00B45E22" w:rsidP="00B45E22">
      <w:pPr>
        <w:numPr>
          <w:ilvl w:val="1"/>
          <w:numId w:val="1"/>
        </w:numPr>
      </w:pPr>
      <w:r w:rsidRPr="00844195">
        <w:t xml:space="preserve">fluorescence per million cells at a given time </w:t>
      </w:r>
      <w:r w:rsidR="00027DEA">
        <w:t>(Figure 1,</w:t>
      </w:r>
      <w:r w:rsidRPr="00844195">
        <w:t xml:space="preserve"> L)</w:t>
      </w:r>
    </w:p>
    <w:p w14:paraId="65FDB01D" w14:textId="77777777" w:rsidR="00B45E22" w:rsidRPr="00844195" w:rsidRDefault="00B45E22" w:rsidP="00B45E22">
      <w:pPr>
        <w:numPr>
          <w:ilvl w:val="1"/>
          <w:numId w:val="1"/>
        </w:numPr>
      </w:pPr>
      <w:r w:rsidRPr="00844195">
        <w:t xml:space="preserve">time needed to reach a given fluorescence per million cells </w:t>
      </w:r>
      <w:r w:rsidR="00027DEA">
        <w:t>(Figure 1,</w:t>
      </w:r>
      <w:r w:rsidR="00027DEA" w:rsidRPr="00844195">
        <w:t xml:space="preserve"> </w:t>
      </w:r>
      <w:r w:rsidR="00027DEA">
        <w:t>R</w:t>
      </w:r>
      <w:r w:rsidR="00027DEA" w:rsidRPr="00844195">
        <w:t>)</w:t>
      </w:r>
    </w:p>
    <w:p w14:paraId="505A48E3" w14:textId="77777777" w:rsidR="00B45E22" w:rsidRPr="00844195" w:rsidRDefault="00B45E22" w:rsidP="00B45E22">
      <w:pPr>
        <w:numPr>
          <w:ilvl w:val="1"/>
          <w:numId w:val="1"/>
        </w:numPr>
      </w:pPr>
      <w:r w:rsidRPr="00844195">
        <w:t>fluorescence at a given population size</w:t>
      </w:r>
    </w:p>
    <w:p w14:paraId="32AB0C13" w14:textId="77777777" w:rsidR="00B45E22" w:rsidRPr="00844195" w:rsidRDefault="00B45E22" w:rsidP="00B45E22">
      <w:pPr>
        <w:numPr>
          <w:ilvl w:val="1"/>
          <w:numId w:val="1"/>
        </w:numPr>
      </w:pPr>
      <w:r w:rsidRPr="00844195">
        <w:t>time to reach maximum fluorescence per million cells</w:t>
      </w:r>
    </w:p>
    <w:p w14:paraId="66FB060C" w14:textId="77777777" w:rsidR="00B45E22" w:rsidRPr="00844195" w:rsidRDefault="00B45E22" w:rsidP="00B45E22">
      <w:pPr>
        <w:numPr>
          <w:ilvl w:val="1"/>
          <w:numId w:val="1"/>
        </w:numPr>
      </w:pPr>
      <w:r w:rsidRPr="00844195">
        <w:t>maximum fluorescence per molecule of inducer per million cells</w:t>
      </w:r>
    </w:p>
    <w:p w14:paraId="4723EFB2" w14:textId="4B80C609" w:rsidR="00B45E22" w:rsidRDefault="00B45E22" w:rsidP="00B45E22">
      <w:pPr>
        <w:numPr>
          <w:ilvl w:val="1"/>
          <w:numId w:val="1"/>
        </w:numPr>
      </w:pPr>
      <w:r w:rsidRPr="00844195">
        <w:t xml:space="preserve">growth rate of cells vs. growth rate of fluorescence (review reproductive rate calculations </w:t>
      </w:r>
      <w:r w:rsidR="00B0265A">
        <w:t>from module 3</w:t>
      </w:r>
      <w:r w:rsidRPr="00844195">
        <w:t>)</w:t>
      </w:r>
    </w:p>
    <w:p w14:paraId="263A198B" w14:textId="77777777" w:rsidR="00B0265A" w:rsidRPr="00844195" w:rsidRDefault="00B0265A" w:rsidP="00B0265A">
      <w:pPr>
        <w:ind w:left="720"/>
      </w:pPr>
    </w:p>
    <w:p w14:paraId="48AF6ABD" w14:textId="77777777" w:rsidR="00B45E22" w:rsidRPr="00844195" w:rsidRDefault="00B45E22" w:rsidP="00B45E22">
      <w:pPr>
        <w:numPr>
          <w:ilvl w:val="0"/>
          <w:numId w:val="1"/>
        </w:numPr>
      </w:pPr>
      <w:r w:rsidRPr="00844195">
        <w:rPr>
          <w:b/>
        </w:rPr>
        <w:t>Make a variety of graphs</w:t>
      </w:r>
      <w:r w:rsidRPr="00844195">
        <w:t xml:space="preserve"> to try to illustrate the behavior of the cells under the different conditions in your experiment.  Try tabulating data, too. </w:t>
      </w:r>
    </w:p>
    <w:p w14:paraId="0C9E9DCB" w14:textId="77777777" w:rsidR="00B45E22" w:rsidRPr="00844195" w:rsidRDefault="00B45E22" w:rsidP="00B45E22">
      <w:pPr>
        <w:keepNext/>
        <w:jc w:val="center"/>
      </w:pPr>
      <w:r w:rsidRPr="00844195">
        <w:rPr>
          <w:noProof/>
        </w:rPr>
        <w:drawing>
          <wp:inline distT="0" distB="0" distL="0" distR="0" wp14:anchorId="348A6066" wp14:editId="3BA0ECCA">
            <wp:extent cx="2458022" cy="1638681"/>
            <wp:effectExtent l="0" t="0" r="31750" b="12700"/>
            <wp:docPr id="27" name="Chart 2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844195">
        <w:rPr>
          <w:noProof/>
        </w:rPr>
        <w:drawing>
          <wp:inline distT="0" distB="0" distL="0" distR="0" wp14:anchorId="27A8E304" wp14:editId="1519DDEF">
            <wp:extent cx="2458022" cy="1638681"/>
            <wp:effectExtent l="0" t="0" r="31750" b="12700"/>
            <wp:docPr id="57" name="Chart 5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C183303" w14:textId="77777777" w:rsidR="00B45E22" w:rsidRPr="00844195" w:rsidRDefault="00B45E22" w:rsidP="00B45E22">
      <w:pPr>
        <w:pStyle w:val="Caption"/>
        <w:ind w:left="0" w:right="0"/>
      </w:pPr>
      <w:bookmarkStart w:id="6" w:name="_Ref280007905"/>
      <w:r w:rsidRPr="00844195">
        <w:t xml:space="preserve">Figure </w:t>
      </w:r>
      <w:r w:rsidR="00ED28B9">
        <w:rPr>
          <w:noProof/>
        </w:rPr>
        <w:fldChar w:fldCharType="begin"/>
      </w:r>
      <w:r w:rsidR="00ED28B9">
        <w:rPr>
          <w:noProof/>
        </w:rPr>
        <w:instrText xml:space="preserve"> SEQ Figure \* ARABIC </w:instrText>
      </w:r>
      <w:r w:rsidR="00ED28B9">
        <w:rPr>
          <w:noProof/>
        </w:rPr>
        <w:fldChar w:fldCharType="separate"/>
      </w:r>
      <w:r w:rsidR="002961D7">
        <w:rPr>
          <w:noProof/>
        </w:rPr>
        <w:t>1</w:t>
      </w:r>
      <w:r w:rsidR="00ED28B9">
        <w:rPr>
          <w:noProof/>
        </w:rPr>
        <w:fldChar w:fldCharType="end"/>
      </w:r>
      <w:bookmarkEnd w:id="6"/>
      <w:r w:rsidRPr="00844195">
        <w:t>.  Change in fluorescence over time.  Left:  Different levels of fluorescence achieved at a particular time.  Right:  Different lengths of time required to achieve a particular level of fluorescence.</w:t>
      </w:r>
    </w:p>
    <w:bookmarkEnd w:id="2"/>
    <w:bookmarkEnd w:id="3"/>
    <w:bookmarkEnd w:id="4"/>
    <w:p w14:paraId="5CC9DEFC" w14:textId="5C8D100A" w:rsidR="006B2B4A" w:rsidRDefault="006B2B4A" w:rsidP="00472B0B">
      <w:pPr>
        <w:spacing w:after="160" w:line="259" w:lineRule="auto"/>
        <w:jc w:val="left"/>
      </w:pPr>
    </w:p>
    <w:p w14:paraId="2AAD36BC" w14:textId="129AAB70" w:rsidR="00CA0BE8" w:rsidRPr="00472B0B" w:rsidRDefault="00CA0BE8" w:rsidP="00472B0B">
      <w:pPr>
        <w:spacing w:after="160" w:line="259" w:lineRule="auto"/>
        <w:jc w:val="left"/>
      </w:pPr>
      <w:r>
        <w:t xml:space="preserve">8. Your group should spend some time thinking about what data story you’re going to write for your Unit 4 lab report.  What do you see in the data?  </w:t>
      </w:r>
      <w:r w:rsidR="00E1543D">
        <w:t>D</w:t>
      </w:r>
      <w:r>
        <w:t>iscuss with prof/TAs before you leave lab for the day.</w:t>
      </w:r>
    </w:p>
    <w:sectPr w:rsidR="00CA0BE8" w:rsidRPr="00472B0B">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13B7C7" w14:textId="77777777" w:rsidR="001D0FD5" w:rsidRDefault="001D0FD5" w:rsidP="00B45E22">
      <w:pPr>
        <w:spacing w:after="0"/>
      </w:pPr>
      <w:r>
        <w:separator/>
      </w:r>
    </w:p>
  </w:endnote>
  <w:endnote w:type="continuationSeparator" w:id="0">
    <w:p w14:paraId="6D047655" w14:textId="77777777" w:rsidR="001D0FD5" w:rsidRDefault="001D0FD5" w:rsidP="00B45E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2143909"/>
      <w:docPartObj>
        <w:docPartGallery w:val="Page Numbers (Bottom of Page)"/>
        <w:docPartUnique/>
      </w:docPartObj>
    </w:sdtPr>
    <w:sdtEndPr>
      <w:rPr>
        <w:noProof/>
      </w:rPr>
    </w:sdtEndPr>
    <w:sdtContent>
      <w:p w14:paraId="0E784B77" w14:textId="77777777" w:rsidR="006B2B4A" w:rsidRDefault="006B2B4A">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14:paraId="37F3D365" w14:textId="77777777" w:rsidR="006B2B4A" w:rsidRDefault="006B2B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7C5E16" w14:textId="77777777" w:rsidR="001D0FD5" w:rsidRDefault="001D0FD5" w:rsidP="00B45E22">
      <w:pPr>
        <w:spacing w:after="0"/>
      </w:pPr>
      <w:r>
        <w:separator/>
      </w:r>
    </w:p>
  </w:footnote>
  <w:footnote w:type="continuationSeparator" w:id="0">
    <w:p w14:paraId="34C2D388" w14:textId="77777777" w:rsidR="001D0FD5" w:rsidRDefault="001D0FD5" w:rsidP="00B45E2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43789" w14:textId="037801C5" w:rsidR="006B2B4A" w:rsidRDefault="006B2B4A">
    <w:pPr>
      <w:pStyle w:val="Header"/>
    </w:pPr>
    <w:r>
      <w:t>Biology 161H</w:t>
    </w:r>
    <w:r>
      <w:ptab w:relativeTo="margin" w:alignment="center" w:leader="none"/>
    </w:r>
    <w:r>
      <w:t>Lab 4.</w:t>
    </w:r>
    <w:r w:rsidR="00E1543D">
      <w:t>2</w:t>
    </w:r>
    <w:r>
      <w:t xml:space="preserve"> Gene Expression Data Analysis</w:t>
    </w:r>
    <w:r>
      <w:ptab w:relativeTo="margin" w:alignment="right" w:leader="none"/>
    </w:r>
    <w:r w:rsidR="00DE2F63">
      <w:t>Fall 202</w:t>
    </w:r>
    <w:r w:rsidR="00E1543D">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93891"/>
    <w:multiLevelType w:val="hybridMultilevel"/>
    <w:tmpl w:val="8EE8D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655C6F"/>
    <w:multiLevelType w:val="multilevel"/>
    <w:tmpl w:val="C438101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right"/>
      <w:pPr>
        <w:tabs>
          <w:tab w:val="num" w:pos="1440"/>
        </w:tabs>
        <w:ind w:left="1440" w:hanging="36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 w15:restartNumberingAfterBreak="0">
    <w:nsid w:val="2B05085C"/>
    <w:multiLevelType w:val="hybridMultilevel"/>
    <w:tmpl w:val="8EE8DC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3D679E"/>
    <w:multiLevelType w:val="multilevel"/>
    <w:tmpl w:val="C438101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right"/>
      <w:pPr>
        <w:tabs>
          <w:tab w:val="num" w:pos="1440"/>
        </w:tabs>
        <w:ind w:left="1440" w:hanging="36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E22"/>
    <w:rsid w:val="00027DEA"/>
    <w:rsid w:val="00036204"/>
    <w:rsid w:val="000714EB"/>
    <w:rsid w:val="00095DBB"/>
    <w:rsid w:val="000D5E24"/>
    <w:rsid w:val="00167846"/>
    <w:rsid w:val="0016794D"/>
    <w:rsid w:val="00191530"/>
    <w:rsid w:val="001D0FD5"/>
    <w:rsid w:val="002961D7"/>
    <w:rsid w:val="002B38E9"/>
    <w:rsid w:val="002B3EE1"/>
    <w:rsid w:val="002F1F9F"/>
    <w:rsid w:val="00377FE3"/>
    <w:rsid w:val="00387038"/>
    <w:rsid w:val="00472B0B"/>
    <w:rsid w:val="0053164B"/>
    <w:rsid w:val="00580468"/>
    <w:rsid w:val="005B0503"/>
    <w:rsid w:val="006B2B4A"/>
    <w:rsid w:val="007047D7"/>
    <w:rsid w:val="00721563"/>
    <w:rsid w:val="00736B49"/>
    <w:rsid w:val="00797D71"/>
    <w:rsid w:val="0080205F"/>
    <w:rsid w:val="008201C4"/>
    <w:rsid w:val="008E6023"/>
    <w:rsid w:val="00923FC5"/>
    <w:rsid w:val="00A572DD"/>
    <w:rsid w:val="00AA0CCA"/>
    <w:rsid w:val="00B0265A"/>
    <w:rsid w:val="00B45E22"/>
    <w:rsid w:val="00BC7DF4"/>
    <w:rsid w:val="00C251C1"/>
    <w:rsid w:val="00C323ED"/>
    <w:rsid w:val="00C60D35"/>
    <w:rsid w:val="00CA0BE8"/>
    <w:rsid w:val="00CC73AE"/>
    <w:rsid w:val="00D00511"/>
    <w:rsid w:val="00D61B60"/>
    <w:rsid w:val="00D6504D"/>
    <w:rsid w:val="00D73046"/>
    <w:rsid w:val="00DE2F63"/>
    <w:rsid w:val="00E1543D"/>
    <w:rsid w:val="00EA69B7"/>
    <w:rsid w:val="00ED28B9"/>
    <w:rsid w:val="00EE7ED2"/>
    <w:rsid w:val="00F04673"/>
    <w:rsid w:val="00FA3C4F"/>
    <w:rsid w:val="00FB1155"/>
    <w:rsid w:val="00FF5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83120"/>
  <w15:chartTrackingRefBased/>
  <w15:docId w15:val="{451738B1-559E-4625-A142-FA40CAF48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5E22"/>
    <w:pPr>
      <w:spacing w:after="120" w:line="240" w:lineRule="auto"/>
      <w:jc w:val="both"/>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B45E22"/>
    <w:pPr>
      <w:keepNext/>
      <w:jc w:val="center"/>
      <w:outlineLvl w:val="1"/>
    </w:pPr>
    <w:rPr>
      <w:rFonts w:ascii="Arial" w:hAnsi="Arial"/>
      <w:b/>
      <w:i/>
      <w:sz w:val="36"/>
      <w:szCs w:val="28"/>
    </w:rPr>
  </w:style>
  <w:style w:type="paragraph" w:styleId="Heading3">
    <w:name w:val="heading 3"/>
    <w:basedOn w:val="Normal"/>
    <w:next w:val="Normal"/>
    <w:link w:val="Heading3Char"/>
    <w:qFormat/>
    <w:rsid w:val="00B45E22"/>
    <w:pPr>
      <w:keepNext/>
      <w:spacing w:before="180" w:after="60"/>
      <w:outlineLvl w:val="2"/>
    </w:pPr>
    <w:rPr>
      <w:rFonts w:ascii="Arial" w:hAnsi="Arial"/>
      <w:b/>
      <w:sz w:val="28"/>
      <w:szCs w:val="26"/>
    </w:rPr>
  </w:style>
  <w:style w:type="paragraph" w:styleId="Heading4">
    <w:name w:val="heading 4"/>
    <w:basedOn w:val="Normal"/>
    <w:next w:val="Normal"/>
    <w:link w:val="Heading4Char"/>
    <w:qFormat/>
    <w:rsid w:val="00B45E22"/>
    <w:pPr>
      <w:keepNext/>
      <w:spacing w:before="60" w:after="60"/>
      <w:outlineLvl w:val="3"/>
    </w:pPr>
    <w:rPr>
      <w:rFonts w:ascii="Arial" w:hAnsi="Arial" w:cs="Arial"/>
      <w:b/>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45E22"/>
    <w:rPr>
      <w:rFonts w:ascii="Arial" w:eastAsia="Times New Roman" w:hAnsi="Arial" w:cs="Times New Roman"/>
      <w:b/>
      <w:i/>
      <w:sz w:val="36"/>
      <w:szCs w:val="28"/>
    </w:rPr>
  </w:style>
  <w:style w:type="character" w:customStyle="1" w:styleId="Heading3Char">
    <w:name w:val="Heading 3 Char"/>
    <w:basedOn w:val="DefaultParagraphFont"/>
    <w:link w:val="Heading3"/>
    <w:rsid w:val="00B45E22"/>
    <w:rPr>
      <w:rFonts w:ascii="Arial" w:eastAsia="Times New Roman" w:hAnsi="Arial" w:cs="Times New Roman"/>
      <w:b/>
      <w:sz w:val="28"/>
      <w:szCs w:val="26"/>
    </w:rPr>
  </w:style>
  <w:style w:type="character" w:customStyle="1" w:styleId="Heading4Char">
    <w:name w:val="Heading 4 Char"/>
    <w:basedOn w:val="DefaultParagraphFont"/>
    <w:link w:val="Heading4"/>
    <w:rsid w:val="00B45E22"/>
    <w:rPr>
      <w:rFonts w:ascii="Arial" w:eastAsia="Times New Roman" w:hAnsi="Arial" w:cs="Arial"/>
      <w:b/>
      <w:sz w:val="26"/>
      <w:szCs w:val="28"/>
    </w:rPr>
  </w:style>
  <w:style w:type="paragraph" w:styleId="Caption">
    <w:name w:val="caption"/>
    <w:basedOn w:val="Normal"/>
    <w:next w:val="Normal"/>
    <w:qFormat/>
    <w:rsid w:val="00B45E22"/>
    <w:pPr>
      <w:spacing w:before="120"/>
      <w:ind w:left="432" w:right="432"/>
    </w:pPr>
    <w:rPr>
      <w:b/>
      <w:bCs/>
      <w:sz w:val="20"/>
      <w:szCs w:val="20"/>
    </w:rPr>
  </w:style>
  <w:style w:type="paragraph" w:styleId="FootnoteText">
    <w:name w:val="footnote text"/>
    <w:basedOn w:val="Normal"/>
    <w:link w:val="FootnoteTextChar"/>
    <w:uiPriority w:val="99"/>
    <w:rsid w:val="00B45E22"/>
    <w:pPr>
      <w:ind w:left="288" w:hanging="288"/>
    </w:pPr>
    <w:rPr>
      <w:color w:val="000000"/>
      <w:sz w:val="20"/>
    </w:rPr>
  </w:style>
  <w:style w:type="character" w:customStyle="1" w:styleId="FootnoteTextChar">
    <w:name w:val="Footnote Text Char"/>
    <w:basedOn w:val="DefaultParagraphFont"/>
    <w:link w:val="FootnoteText"/>
    <w:uiPriority w:val="99"/>
    <w:rsid w:val="00B45E22"/>
    <w:rPr>
      <w:rFonts w:ascii="Times New Roman" w:eastAsia="Times New Roman" w:hAnsi="Times New Roman" w:cs="Times New Roman"/>
      <w:color w:val="000000"/>
      <w:sz w:val="20"/>
      <w:szCs w:val="24"/>
    </w:rPr>
  </w:style>
  <w:style w:type="character" w:styleId="FootnoteReference">
    <w:name w:val="footnote reference"/>
    <w:uiPriority w:val="99"/>
    <w:rsid w:val="00B45E22"/>
    <w:rPr>
      <w:vertAlign w:val="superscript"/>
    </w:rPr>
  </w:style>
  <w:style w:type="paragraph" w:styleId="ListParagraph">
    <w:name w:val="List Paragraph"/>
    <w:basedOn w:val="Normal"/>
    <w:uiPriority w:val="34"/>
    <w:qFormat/>
    <w:rsid w:val="002F1F9F"/>
    <w:pPr>
      <w:spacing w:after="160" w:line="259" w:lineRule="auto"/>
      <w:ind w:left="720"/>
      <w:contextualSpacing/>
      <w:jc w:val="left"/>
    </w:pPr>
    <w:rPr>
      <w:rFonts w:asciiTheme="minorHAnsi" w:eastAsiaTheme="minorHAnsi" w:hAnsiTheme="minorHAnsi" w:cstheme="minorBidi"/>
      <w:sz w:val="22"/>
      <w:szCs w:val="22"/>
    </w:rPr>
  </w:style>
  <w:style w:type="table" w:styleId="TableGrid">
    <w:name w:val="Table Grid"/>
    <w:basedOn w:val="TableNormal"/>
    <w:uiPriority w:val="39"/>
    <w:rsid w:val="002F1F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3FC5"/>
    <w:pPr>
      <w:tabs>
        <w:tab w:val="center" w:pos="4680"/>
        <w:tab w:val="right" w:pos="9360"/>
      </w:tabs>
      <w:spacing w:after="0"/>
    </w:pPr>
  </w:style>
  <w:style w:type="character" w:customStyle="1" w:styleId="HeaderChar">
    <w:name w:val="Header Char"/>
    <w:basedOn w:val="DefaultParagraphFont"/>
    <w:link w:val="Header"/>
    <w:uiPriority w:val="99"/>
    <w:rsid w:val="00923FC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23FC5"/>
    <w:pPr>
      <w:tabs>
        <w:tab w:val="center" w:pos="4680"/>
        <w:tab w:val="right" w:pos="9360"/>
      </w:tabs>
      <w:spacing w:after="0"/>
    </w:pPr>
  </w:style>
  <w:style w:type="character" w:customStyle="1" w:styleId="FooterChar">
    <w:name w:val="Footer Char"/>
    <w:basedOn w:val="DefaultParagraphFont"/>
    <w:link w:val="Footer"/>
    <w:uiPriority w:val="99"/>
    <w:rsid w:val="00923FC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961D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1D7"/>
    <w:rPr>
      <w:rFonts w:ascii="Segoe UI" w:eastAsia="Times New Roman" w:hAnsi="Segoe UI" w:cs="Segoe UI"/>
      <w:sz w:val="18"/>
      <w:szCs w:val="18"/>
    </w:rPr>
  </w:style>
  <w:style w:type="table" w:customStyle="1" w:styleId="TableGrid0">
    <w:name w:val="TableGrid"/>
    <w:rsid w:val="006B2B4A"/>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Macintosh%20HD:Users:kdorfman:Documents:QBoC:E_coli_grow&amp;glow:2014:BFL_ps1_Th_201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Macintosh%20HD:Users:kdorfman:Documents:QBoC:E_coli_grow&amp;glow:2014:BFL_ps1_Th_201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scatterChart>
        <c:scatterStyle val="smoothMarker"/>
        <c:varyColors val="0"/>
        <c:ser>
          <c:idx val="0"/>
          <c:order val="0"/>
          <c:tx>
            <c:strRef>
              <c:f>demo_data!$D$1</c:f>
              <c:strCache>
                <c:ptCount val="1"/>
                <c:pt idx="0">
                  <c:v>A1</c:v>
                </c:pt>
              </c:strCache>
            </c:strRef>
          </c:tx>
          <c:spPr>
            <a:ln w="38100">
              <a:solidFill>
                <a:schemeClr val="tx1"/>
              </a:solidFill>
            </a:ln>
          </c:spPr>
          <c:marker>
            <c:symbol val="none"/>
          </c:marker>
          <c:xVal>
            <c:numRef>
              <c:f>demo_data!$C$14:$C$50</c:f>
              <c:numCache>
                <c:formatCode>General</c:formatCode>
                <c:ptCount val="37"/>
                <c:pt idx="0">
                  <c:v>3</c:v>
                </c:pt>
                <c:pt idx="1">
                  <c:v>3.25</c:v>
                </c:pt>
                <c:pt idx="2">
                  <c:v>3.5</c:v>
                </c:pt>
                <c:pt idx="3">
                  <c:v>3.75</c:v>
                </c:pt>
                <c:pt idx="4">
                  <c:v>4</c:v>
                </c:pt>
                <c:pt idx="5">
                  <c:v>4.25</c:v>
                </c:pt>
                <c:pt idx="6">
                  <c:v>4.5</c:v>
                </c:pt>
                <c:pt idx="7">
                  <c:v>4.75</c:v>
                </c:pt>
                <c:pt idx="8">
                  <c:v>5</c:v>
                </c:pt>
                <c:pt idx="9">
                  <c:v>5.25</c:v>
                </c:pt>
                <c:pt idx="10">
                  <c:v>5.5</c:v>
                </c:pt>
                <c:pt idx="11">
                  <c:v>5.75</c:v>
                </c:pt>
                <c:pt idx="12">
                  <c:v>6</c:v>
                </c:pt>
                <c:pt idx="13">
                  <c:v>6.25</c:v>
                </c:pt>
                <c:pt idx="14">
                  <c:v>6.5</c:v>
                </c:pt>
                <c:pt idx="15">
                  <c:v>6.75</c:v>
                </c:pt>
                <c:pt idx="16">
                  <c:v>7</c:v>
                </c:pt>
                <c:pt idx="17">
                  <c:v>7.25</c:v>
                </c:pt>
                <c:pt idx="18">
                  <c:v>7.5</c:v>
                </c:pt>
                <c:pt idx="19">
                  <c:v>7.75</c:v>
                </c:pt>
                <c:pt idx="20">
                  <c:v>8</c:v>
                </c:pt>
                <c:pt idx="21">
                  <c:v>8.25</c:v>
                </c:pt>
                <c:pt idx="22">
                  <c:v>8.5</c:v>
                </c:pt>
                <c:pt idx="23">
                  <c:v>8.75</c:v>
                </c:pt>
                <c:pt idx="24">
                  <c:v>9</c:v>
                </c:pt>
                <c:pt idx="25">
                  <c:v>9.25</c:v>
                </c:pt>
                <c:pt idx="26">
                  <c:v>9.5</c:v>
                </c:pt>
                <c:pt idx="27">
                  <c:v>9.75</c:v>
                </c:pt>
                <c:pt idx="28">
                  <c:v>10</c:v>
                </c:pt>
                <c:pt idx="29">
                  <c:v>10.25</c:v>
                </c:pt>
                <c:pt idx="30">
                  <c:v>10.5</c:v>
                </c:pt>
                <c:pt idx="31">
                  <c:v>10.75</c:v>
                </c:pt>
                <c:pt idx="32">
                  <c:v>11</c:v>
                </c:pt>
                <c:pt idx="33">
                  <c:v>11.25</c:v>
                </c:pt>
                <c:pt idx="34">
                  <c:v>11.5</c:v>
                </c:pt>
                <c:pt idx="35">
                  <c:v>11.75</c:v>
                </c:pt>
                <c:pt idx="36">
                  <c:v>12</c:v>
                </c:pt>
              </c:numCache>
            </c:numRef>
          </c:xVal>
          <c:yVal>
            <c:numRef>
              <c:f>demo_data!$D$14:$D$50</c:f>
              <c:numCache>
                <c:formatCode>General</c:formatCode>
                <c:ptCount val="37"/>
                <c:pt idx="0">
                  <c:v>815</c:v>
                </c:pt>
                <c:pt idx="1">
                  <c:v>937</c:v>
                </c:pt>
                <c:pt idx="2">
                  <c:v>1113</c:v>
                </c:pt>
                <c:pt idx="3">
                  <c:v>1383</c:v>
                </c:pt>
                <c:pt idx="4">
                  <c:v>1934</c:v>
                </c:pt>
                <c:pt idx="5">
                  <c:v>2550</c:v>
                </c:pt>
                <c:pt idx="6">
                  <c:v>3231</c:v>
                </c:pt>
                <c:pt idx="7">
                  <c:v>3928</c:v>
                </c:pt>
                <c:pt idx="8">
                  <c:v>4700</c:v>
                </c:pt>
                <c:pt idx="9">
                  <c:v>5428</c:v>
                </c:pt>
                <c:pt idx="10">
                  <c:v>6215</c:v>
                </c:pt>
                <c:pt idx="11">
                  <c:v>6967</c:v>
                </c:pt>
                <c:pt idx="12">
                  <c:v>7701</c:v>
                </c:pt>
                <c:pt idx="13">
                  <c:v>8382</c:v>
                </c:pt>
                <c:pt idx="14">
                  <c:v>9109</c:v>
                </c:pt>
                <c:pt idx="15">
                  <c:v>9825</c:v>
                </c:pt>
                <c:pt idx="16">
                  <c:v>10514</c:v>
                </c:pt>
                <c:pt idx="17">
                  <c:v>11196</c:v>
                </c:pt>
                <c:pt idx="18">
                  <c:v>11876</c:v>
                </c:pt>
                <c:pt idx="19">
                  <c:v>12545</c:v>
                </c:pt>
                <c:pt idx="20">
                  <c:v>13239</c:v>
                </c:pt>
                <c:pt idx="21">
                  <c:v>13951</c:v>
                </c:pt>
                <c:pt idx="22">
                  <c:v>14583</c:v>
                </c:pt>
                <c:pt idx="23">
                  <c:v>15193</c:v>
                </c:pt>
                <c:pt idx="24">
                  <c:v>15771</c:v>
                </c:pt>
                <c:pt idx="25">
                  <c:v>16443</c:v>
                </c:pt>
                <c:pt idx="26">
                  <c:v>17042</c:v>
                </c:pt>
                <c:pt idx="27">
                  <c:v>17568</c:v>
                </c:pt>
                <c:pt idx="28">
                  <c:v>18165</c:v>
                </c:pt>
                <c:pt idx="29">
                  <c:v>18656</c:v>
                </c:pt>
                <c:pt idx="30">
                  <c:v>19232</c:v>
                </c:pt>
                <c:pt idx="31">
                  <c:v>19766</c:v>
                </c:pt>
                <c:pt idx="32">
                  <c:v>20143</c:v>
                </c:pt>
                <c:pt idx="33">
                  <c:v>20605</c:v>
                </c:pt>
                <c:pt idx="34">
                  <c:v>21071</c:v>
                </c:pt>
                <c:pt idx="35">
                  <c:v>21524</c:v>
                </c:pt>
                <c:pt idx="36">
                  <c:v>21996</c:v>
                </c:pt>
              </c:numCache>
            </c:numRef>
          </c:yVal>
          <c:smooth val="1"/>
          <c:extLst>
            <c:ext xmlns:c16="http://schemas.microsoft.com/office/drawing/2014/chart" uri="{C3380CC4-5D6E-409C-BE32-E72D297353CC}">
              <c16:uniqueId val="{00000000-F71B-4F58-A2D7-C674F595099D}"/>
            </c:ext>
          </c:extLst>
        </c:ser>
        <c:ser>
          <c:idx val="1"/>
          <c:order val="1"/>
          <c:tx>
            <c:strRef>
              <c:f>demo_data!$E$1</c:f>
              <c:strCache>
                <c:ptCount val="1"/>
                <c:pt idx="0">
                  <c:v>A2</c:v>
                </c:pt>
              </c:strCache>
            </c:strRef>
          </c:tx>
          <c:spPr>
            <a:ln w="38100">
              <a:solidFill>
                <a:schemeClr val="bg1">
                  <a:lumMod val="50000"/>
                </a:schemeClr>
              </a:solidFill>
            </a:ln>
          </c:spPr>
          <c:marker>
            <c:symbol val="none"/>
          </c:marker>
          <c:xVal>
            <c:numRef>
              <c:f>demo_data!$C$14:$C$50</c:f>
              <c:numCache>
                <c:formatCode>General</c:formatCode>
                <c:ptCount val="37"/>
                <c:pt idx="0">
                  <c:v>3</c:v>
                </c:pt>
                <c:pt idx="1">
                  <c:v>3.25</c:v>
                </c:pt>
                <c:pt idx="2">
                  <c:v>3.5</c:v>
                </c:pt>
                <c:pt idx="3">
                  <c:v>3.75</c:v>
                </c:pt>
                <c:pt idx="4">
                  <c:v>4</c:v>
                </c:pt>
                <c:pt idx="5">
                  <c:v>4.25</c:v>
                </c:pt>
                <c:pt idx="6">
                  <c:v>4.5</c:v>
                </c:pt>
                <c:pt idx="7">
                  <c:v>4.75</c:v>
                </c:pt>
                <c:pt idx="8">
                  <c:v>5</c:v>
                </c:pt>
                <c:pt idx="9">
                  <c:v>5.25</c:v>
                </c:pt>
                <c:pt idx="10">
                  <c:v>5.5</c:v>
                </c:pt>
                <c:pt idx="11">
                  <c:v>5.75</c:v>
                </c:pt>
                <c:pt idx="12">
                  <c:v>6</c:v>
                </c:pt>
                <c:pt idx="13">
                  <c:v>6.25</c:v>
                </c:pt>
                <c:pt idx="14">
                  <c:v>6.5</c:v>
                </c:pt>
                <c:pt idx="15">
                  <c:v>6.75</c:v>
                </c:pt>
                <c:pt idx="16">
                  <c:v>7</c:v>
                </c:pt>
                <c:pt idx="17">
                  <c:v>7.25</c:v>
                </c:pt>
                <c:pt idx="18">
                  <c:v>7.5</c:v>
                </c:pt>
                <c:pt idx="19">
                  <c:v>7.75</c:v>
                </c:pt>
                <c:pt idx="20">
                  <c:v>8</c:v>
                </c:pt>
                <c:pt idx="21">
                  <c:v>8.25</c:v>
                </c:pt>
                <c:pt idx="22">
                  <c:v>8.5</c:v>
                </c:pt>
                <c:pt idx="23">
                  <c:v>8.75</c:v>
                </c:pt>
                <c:pt idx="24">
                  <c:v>9</c:v>
                </c:pt>
                <c:pt idx="25">
                  <c:v>9.25</c:v>
                </c:pt>
                <c:pt idx="26">
                  <c:v>9.5</c:v>
                </c:pt>
                <c:pt idx="27">
                  <c:v>9.75</c:v>
                </c:pt>
                <c:pt idx="28">
                  <c:v>10</c:v>
                </c:pt>
                <c:pt idx="29">
                  <c:v>10.25</c:v>
                </c:pt>
                <c:pt idx="30">
                  <c:v>10.5</c:v>
                </c:pt>
                <c:pt idx="31">
                  <c:v>10.75</c:v>
                </c:pt>
                <c:pt idx="32">
                  <c:v>11</c:v>
                </c:pt>
                <c:pt idx="33">
                  <c:v>11.25</c:v>
                </c:pt>
                <c:pt idx="34">
                  <c:v>11.5</c:v>
                </c:pt>
                <c:pt idx="35">
                  <c:v>11.75</c:v>
                </c:pt>
                <c:pt idx="36">
                  <c:v>12</c:v>
                </c:pt>
              </c:numCache>
            </c:numRef>
          </c:xVal>
          <c:yVal>
            <c:numRef>
              <c:f>demo_data!$E$14:$E$50</c:f>
              <c:numCache>
                <c:formatCode>General</c:formatCode>
                <c:ptCount val="37"/>
                <c:pt idx="0">
                  <c:v>857</c:v>
                </c:pt>
                <c:pt idx="1">
                  <c:v>953</c:v>
                </c:pt>
                <c:pt idx="2">
                  <c:v>1080</c:v>
                </c:pt>
                <c:pt idx="3">
                  <c:v>1260</c:v>
                </c:pt>
                <c:pt idx="4">
                  <c:v>1474</c:v>
                </c:pt>
                <c:pt idx="5">
                  <c:v>1744</c:v>
                </c:pt>
                <c:pt idx="6">
                  <c:v>2062</c:v>
                </c:pt>
                <c:pt idx="7">
                  <c:v>2443</c:v>
                </c:pt>
                <c:pt idx="8">
                  <c:v>2835</c:v>
                </c:pt>
                <c:pt idx="9">
                  <c:v>3268</c:v>
                </c:pt>
                <c:pt idx="10">
                  <c:v>3694</c:v>
                </c:pt>
                <c:pt idx="11">
                  <c:v>4138</c:v>
                </c:pt>
                <c:pt idx="12">
                  <c:v>4606</c:v>
                </c:pt>
                <c:pt idx="13">
                  <c:v>5114</c:v>
                </c:pt>
                <c:pt idx="14">
                  <c:v>5652</c:v>
                </c:pt>
                <c:pt idx="15">
                  <c:v>6181</c:v>
                </c:pt>
                <c:pt idx="16">
                  <c:v>6737</c:v>
                </c:pt>
                <c:pt idx="17">
                  <c:v>7286</c:v>
                </c:pt>
                <c:pt idx="18">
                  <c:v>7881</c:v>
                </c:pt>
                <c:pt idx="19">
                  <c:v>8409</c:v>
                </c:pt>
                <c:pt idx="20">
                  <c:v>9008</c:v>
                </c:pt>
                <c:pt idx="21">
                  <c:v>9529</c:v>
                </c:pt>
                <c:pt idx="22">
                  <c:v>10081</c:v>
                </c:pt>
                <c:pt idx="23">
                  <c:v>10632</c:v>
                </c:pt>
                <c:pt idx="24">
                  <c:v>11118</c:v>
                </c:pt>
                <c:pt idx="25">
                  <c:v>11629</c:v>
                </c:pt>
                <c:pt idx="26">
                  <c:v>12131</c:v>
                </c:pt>
                <c:pt idx="27">
                  <c:v>12617</c:v>
                </c:pt>
                <c:pt idx="28">
                  <c:v>13038</c:v>
                </c:pt>
                <c:pt idx="29">
                  <c:v>13527</c:v>
                </c:pt>
                <c:pt idx="30">
                  <c:v>13887</c:v>
                </c:pt>
                <c:pt idx="31">
                  <c:v>14296</c:v>
                </c:pt>
                <c:pt idx="32">
                  <c:v>14765</c:v>
                </c:pt>
                <c:pt idx="33">
                  <c:v>15192</c:v>
                </c:pt>
                <c:pt idx="34">
                  <c:v>15503</c:v>
                </c:pt>
                <c:pt idx="35">
                  <c:v>15853</c:v>
                </c:pt>
                <c:pt idx="36">
                  <c:v>16166</c:v>
                </c:pt>
              </c:numCache>
            </c:numRef>
          </c:yVal>
          <c:smooth val="1"/>
          <c:extLst>
            <c:ext xmlns:c16="http://schemas.microsoft.com/office/drawing/2014/chart" uri="{C3380CC4-5D6E-409C-BE32-E72D297353CC}">
              <c16:uniqueId val="{00000001-F71B-4F58-A2D7-C674F595099D}"/>
            </c:ext>
          </c:extLst>
        </c:ser>
        <c:ser>
          <c:idx val="2"/>
          <c:order val="2"/>
          <c:tx>
            <c:strRef>
              <c:f>demo_data!$F$1</c:f>
              <c:strCache>
                <c:ptCount val="1"/>
                <c:pt idx="0">
                  <c:v>A3</c:v>
                </c:pt>
              </c:strCache>
            </c:strRef>
          </c:tx>
          <c:spPr>
            <a:ln>
              <a:solidFill>
                <a:schemeClr val="bg1">
                  <a:lumMod val="65000"/>
                </a:schemeClr>
              </a:solidFill>
            </a:ln>
          </c:spPr>
          <c:marker>
            <c:symbol val="none"/>
          </c:marker>
          <c:xVal>
            <c:numRef>
              <c:f>demo_data!$C$14:$C$50</c:f>
              <c:numCache>
                <c:formatCode>General</c:formatCode>
                <c:ptCount val="37"/>
                <c:pt idx="0">
                  <c:v>3</c:v>
                </c:pt>
                <c:pt idx="1">
                  <c:v>3.25</c:v>
                </c:pt>
                <c:pt idx="2">
                  <c:v>3.5</c:v>
                </c:pt>
                <c:pt idx="3">
                  <c:v>3.75</c:v>
                </c:pt>
                <c:pt idx="4">
                  <c:v>4</c:v>
                </c:pt>
                <c:pt idx="5">
                  <c:v>4.25</c:v>
                </c:pt>
                <c:pt idx="6">
                  <c:v>4.5</c:v>
                </c:pt>
                <c:pt idx="7">
                  <c:v>4.75</c:v>
                </c:pt>
                <c:pt idx="8">
                  <c:v>5</c:v>
                </c:pt>
                <c:pt idx="9">
                  <c:v>5.25</c:v>
                </c:pt>
                <c:pt idx="10">
                  <c:v>5.5</c:v>
                </c:pt>
                <c:pt idx="11">
                  <c:v>5.75</c:v>
                </c:pt>
                <c:pt idx="12">
                  <c:v>6</c:v>
                </c:pt>
                <c:pt idx="13">
                  <c:v>6.25</c:v>
                </c:pt>
                <c:pt idx="14">
                  <c:v>6.5</c:v>
                </c:pt>
                <c:pt idx="15">
                  <c:v>6.75</c:v>
                </c:pt>
                <c:pt idx="16">
                  <c:v>7</c:v>
                </c:pt>
                <c:pt idx="17">
                  <c:v>7.25</c:v>
                </c:pt>
                <c:pt idx="18">
                  <c:v>7.5</c:v>
                </c:pt>
                <c:pt idx="19">
                  <c:v>7.75</c:v>
                </c:pt>
                <c:pt idx="20">
                  <c:v>8</c:v>
                </c:pt>
                <c:pt idx="21">
                  <c:v>8.25</c:v>
                </c:pt>
                <c:pt idx="22">
                  <c:v>8.5</c:v>
                </c:pt>
                <c:pt idx="23">
                  <c:v>8.75</c:v>
                </c:pt>
                <c:pt idx="24">
                  <c:v>9</c:v>
                </c:pt>
                <c:pt idx="25">
                  <c:v>9.25</c:v>
                </c:pt>
                <c:pt idx="26">
                  <c:v>9.5</c:v>
                </c:pt>
                <c:pt idx="27">
                  <c:v>9.75</c:v>
                </c:pt>
                <c:pt idx="28">
                  <c:v>10</c:v>
                </c:pt>
                <c:pt idx="29">
                  <c:v>10.25</c:v>
                </c:pt>
                <c:pt idx="30">
                  <c:v>10.5</c:v>
                </c:pt>
                <c:pt idx="31">
                  <c:v>10.75</c:v>
                </c:pt>
                <c:pt idx="32">
                  <c:v>11</c:v>
                </c:pt>
                <c:pt idx="33">
                  <c:v>11.25</c:v>
                </c:pt>
                <c:pt idx="34">
                  <c:v>11.5</c:v>
                </c:pt>
                <c:pt idx="35">
                  <c:v>11.75</c:v>
                </c:pt>
                <c:pt idx="36">
                  <c:v>12</c:v>
                </c:pt>
              </c:numCache>
            </c:numRef>
          </c:xVal>
          <c:yVal>
            <c:numRef>
              <c:f>demo_data!$F$14:$F$50</c:f>
              <c:numCache>
                <c:formatCode>General</c:formatCode>
                <c:ptCount val="37"/>
                <c:pt idx="0">
                  <c:v>707</c:v>
                </c:pt>
                <c:pt idx="1">
                  <c:v>717</c:v>
                </c:pt>
                <c:pt idx="2">
                  <c:v>737</c:v>
                </c:pt>
                <c:pt idx="3">
                  <c:v>757</c:v>
                </c:pt>
                <c:pt idx="4">
                  <c:v>802</c:v>
                </c:pt>
                <c:pt idx="5">
                  <c:v>852</c:v>
                </c:pt>
                <c:pt idx="6">
                  <c:v>919</c:v>
                </c:pt>
                <c:pt idx="7">
                  <c:v>1000</c:v>
                </c:pt>
                <c:pt idx="8">
                  <c:v>1095</c:v>
                </c:pt>
                <c:pt idx="9">
                  <c:v>1214</c:v>
                </c:pt>
                <c:pt idx="10">
                  <c:v>1370</c:v>
                </c:pt>
                <c:pt idx="11">
                  <c:v>1564</c:v>
                </c:pt>
                <c:pt idx="12">
                  <c:v>1812</c:v>
                </c:pt>
                <c:pt idx="13">
                  <c:v>2110</c:v>
                </c:pt>
                <c:pt idx="14">
                  <c:v>2500</c:v>
                </c:pt>
                <c:pt idx="15">
                  <c:v>2914</c:v>
                </c:pt>
                <c:pt idx="16">
                  <c:v>3372</c:v>
                </c:pt>
                <c:pt idx="17">
                  <c:v>3858</c:v>
                </c:pt>
                <c:pt idx="18">
                  <c:v>4364</c:v>
                </c:pt>
                <c:pt idx="19">
                  <c:v>4878</c:v>
                </c:pt>
                <c:pt idx="20">
                  <c:v>5409</c:v>
                </c:pt>
                <c:pt idx="21">
                  <c:v>5953</c:v>
                </c:pt>
                <c:pt idx="22">
                  <c:v>6455</c:v>
                </c:pt>
                <c:pt idx="23">
                  <c:v>7017</c:v>
                </c:pt>
                <c:pt idx="24">
                  <c:v>7497</c:v>
                </c:pt>
                <c:pt idx="25">
                  <c:v>8026</c:v>
                </c:pt>
                <c:pt idx="26">
                  <c:v>8515</c:v>
                </c:pt>
                <c:pt idx="27">
                  <c:v>8987</c:v>
                </c:pt>
                <c:pt idx="28">
                  <c:v>9447</c:v>
                </c:pt>
                <c:pt idx="29">
                  <c:v>9932</c:v>
                </c:pt>
                <c:pt idx="30">
                  <c:v>10384</c:v>
                </c:pt>
                <c:pt idx="31">
                  <c:v>10828</c:v>
                </c:pt>
                <c:pt idx="32">
                  <c:v>11385</c:v>
                </c:pt>
                <c:pt idx="33">
                  <c:v>11846</c:v>
                </c:pt>
                <c:pt idx="34">
                  <c:v>12285</c:v>
                </c:pt>
                <c:pt idx="35">
                  <c:v>12754</c:v>
                </c:pt>
                <c:pt idx="36">
                  <c:v>13172</c:v>
                </c:pt>
              </c:numCache>
            </c:numRef>
          </c:yVal>
          <c:smooth val="1"/>
          <c:extLst>
            <c:ext xmlns:c16="http://schemas.microsoft.com/office/drawing/2014/chart" uri="{C3380CC4-5D6E-409C-BE32-E72D297353CC}">
              <c16:uniqueId val="{00000002-F71B-4F58-A2D7-C674F595099D}"/>
            </c:ext>
          </c:extLst>
        </c:ser>
        <c:ser>
          <c:idx val="5"/>
          <c:order val="3"/>
          <c:spPr>
            <a:ln w="38100">
              <a:solidFill>
                <a:schemeClr val="tx1"/>
              </a:solidFill>
            </a:ln>
          </c:spPr>
          <c:marker>
            <c:symbol val="none"/>
          </c:marker>
          <c:xVal>
            <c:numRef>
              <c:f>demo_data!$C$14:$C$50</c:f>
              <c:numCache>
                <c:formatCode>General</c:formatCode>
                <c:ptCount val="37"/>
                <c:pt idx="0">
                  <c:v>3</c:v>
                </c:pt>
                <c:pt idx="1">
                  <c:v>3.25</c:v>
                </c:pt>
                <c:pt idx="2">
                  <c:v>3.5</c:v>
                </c:pt>
                <c:pt idx="3">
                  <c:v>3.75</c:v>
                </c:pt>
                <c:pt idx="4">
                  <c:v>4</c:v>
                </c:pt>
                <c:pt idx="5">
                  <c:v>4.25</c:v>
                </c:pt>
                <c:pt idx="6">
                  <c:v>4.5</c:v>
                </c:pt>
                <c:pt idx="7">
                  <c:v>4.75</c:v>
                </c:pt>
                <c:pt idx="8">
                  <c:v>5</c:v>
                </c:pt>
                <c:pt idx="9">
                  <c:v>5.25</c:v>
                </c:pt>
                <c:pt idx="10">
                  <c:v>5.5</c:v>
                </c:pt>
                <c:pt idx="11">
                  <c:v>5.75</c:v>
                </c:pt>
                <c:pt idx="12">
                  <c:v>6</c:v>
                </c:pt>
                <c:pt idx="13">
                  <c:v>6.25</c:v>
                </c:pt>
                <c:pt idx="14">
                  <c:v>6.5</c:v>
                </c:pt>
                <c:pt idx="15">
                  <c:v>6.75</c:v>
                </c:pt>
                <c:pt idx="16">
                  <c:v>7</c:v>
                </c:pt>
                <c:pt idx="17">
                  <c:v>7.25</c:v>
                </c:pt>
                <c:pt idx="18">
                  <c:v>7.5</c:v>
                </c:pt>
                <c:pt idx="19">
                  <c:v>7.75</c:v>
                </c:pt>
                <c:pt idx="20">
                  <c:v>8</c:v>
                </c:pt>
                <c:pt idx="21">
                  <c:v>8.25</c:v>
                </c:pt>
                <c:pt idx="22">
                  <c:v>8.5</c:v>
                </c:pt>
                <c:pt idx="23">
                  <c:v>8.75</c:v>
                </c:pt>
                <c:pt idx="24">
                  <c:v>9</c:v>
                </c:pt>
                <c:pt idx="25">
                  <c:v>9.25</c:v>
                </c:pt>
                <c:pt idx="26">
                  <c:v>9.5</c:v>
                </c:pt>
                <c:pt idx="27">
                  <c:v>9.75</c:v>
                </c:pt>
                <c:pt idx="28">
                  <c:v>10</c:v>
                </c:pt>
                <c:pt idx="29">
                  <c:v>10.25</c:v>
                </c:pt>
                <c:pt idx="30">
                  <c:v>10.5</c:v>
                </c:pt>
                <c:pt idx="31">
                  <c:v>10.75</c:v>
                </c:pt>
                <c:pt idx="32">
                  <c:v>11</c:v>
                </c:pt>
                <c:pt idx="33">
                  <c:v>11.25</c:v>
                </c:pt>
                <c:pt idx="34">
                  <c:v>11.5</c:v>
                </c:pt>
                <c:pt idx="35">
                  <c:v>11.75</c:v>
                </c:pt>
                <c:pt idx="36">
                  <c:v>12</c:v>
                </c:pt>
              </c:numCache>
            </c:numRef>
          </c:xVal>
          <c:yVal>
            <c:numRef>
              <c:f>demo_data!$O$14:$O$30</c:f>
              <c:numCache>
                <c:formatCode>General</c:formatCode>
                <c:ptCount val="17"/>
                <c:pt idx="0">
                  <c:v>10514</c:v>
                </c:pt>
                <c:pt idx="1">
                  <c:v>10514</c:v>
                </c:pt>
                <c:pt idx="2">
                  <c:v>10514</c:v>
                </c:pt>
                <c:pt idx="3">
                  <c:v>10514</c:v>
                </c:pt>
                <c:pt idx="4">
                  <c:v>10514</c:v>
                </c:pt>
                <c:pt idx="5">
                  <c:v>10514</c:v>
                </c:pt>
                <c:pt idx="6">
                  <c:v>10514</c:v>
                </c:pt>
                <c:pt idx="7">
                  <c:v>10514</c:v>
                </c:pt>
                <c:pt idx="8">
                  <c:v>10514</c:v>
                </c:pt>
                <c:pt idx="9">
                  <c:v>10514</c:v>
                </c:pt>
                <c:pt idx="10">
                  <c:v>10514</c:v>
                </c:pt>
                <c:pt idx="11">
                  <c:v>10514</c:v>
                </c:pt>
                <c:pt idx="12">
                  <c:v>10514</c:v>
                </c:pt>
                <c:pt idx="13">
                  <c:v>10514</c:v>
                </c:pt>
                <c:pt idx="14">
                  <c:v>10514</c:v>
                </c:pt>
                <c:pt idx="15">
                  <c:v>10514</c:v>
                </c:pt>
                <c:pt idx="16">
                  <c:v>10514</c:v>
                </c:pt>
              </c:numCache>
            </c:numRef>
          </c:yVal>
          <c:smooth val="1"/>
          <c:extLst>
            <c:ext xmlns:c16="http://schemas.microsoft.com/office/drawing/2014/chart" uri="{C3380CC4-5D6E-409C-BE32-E72D297353CC}">
              <c16:uniqueId val="{00000003-F71B-4F58-A2D7-C674F595099D}"/>
            </c:ext>
          </c:extLst>
        </c:ser>
        <c:ser>
          <c:idx val="6"/>
          <c:order val="4"/>
          <c:spPr>
            <a:ln w="38100">
              <a:solidFill>
                <a:schemeClr val="bg1">
                  <a:lumMod val="50000"/>
                </a:schemeClr>
              </a:solidFill>
            </a:ln>
          </c:spPr>
          <c:marker>
            <c:symbol val="none"/>
          </c:marker>
          <c:xVal>
            <c:numRef>
              <c:f>demo_data!$C$14:$C$50</c:f>
              <c:numCache>
                <c:formatCode>General</c:formatCode>
                <c:ptCount val="37"/>
                <c:pt idx="0">
                  <c:v>3</c:v>
                </c:pt>
                <c:pt idx="1">
                  <c:v>3.25</c:v>
                </c:pt>
                <c:pt idx="2">
                  <c:v>3.5</c:v>
                </c:pt>
                <c:pt idx="3">
                  <c:v>3.75</c:v>
                </c:pt>
                <c:pt idx="4">
                  <c:v>4</c:v>
                </c:pt>
                <c:pt idx="5">
                  <c:v>4.25</c:v>
                </c:pt>
                <c:pt idx="6">
                  <c:v>4.5</c:v>
                </c:pt>
                <c:pt idx="7">
                  <c:v>4.75</c:v>
                </c:pt>
                <c:pt idx="8">
                  <c:v>5</c:v>
                </c:pt>
                <c:pt idx="9">
                  <c:v>5.25</c:v>
                </c:pt>
                <c:pt idx="10">
                  <c:v>5.5</c:v>
                </c:pt>
                <c:pt idx="11">
                  <c:v>5.75</c:v>
                </c:pt>
                <c:pt idx="12">
                  <c:v>6</c:v>
                </c:pt>
                <c:pt idx="13">
                  <c:v>6.25</c:v>
                </c:pt>
                <c:pt idx="14">
                  <c:v>6.5</c:v>
                </c:pt>
                <c:pt idx="15">
                  <c:v>6.75</c:v>
                </c:pt>
                <c:pt idx="16">
                  <c:v>7</c:v>
                </c:pt>
                <c:pt idx="17">
                  <c:v>7.25</c:v>
                </c:pt>
                <c:pt idx="18">
                  <c:v>7.5</c:v>
                </c:pt>
                <c:pt idx="19">
                  <c:v>7.75</c:v>
                </c:pt>
                <c:pt idx="20">
                  <c:v>8</c:v>
                </c:pt>
                <c:pt idx="21">
                  <c:v>8.25</c:v>
                </c:pt>
                <c:pt idx="22">
                  <c:v>8.5</c:v>
                </c:pt>
                <c:pt idx="23">
                  <c:v>8.75</c:v>
                </c:pt>
                <c:pt idx="24">
                  <c:v>9</c:v>
                </c:pt>
                <c:pt idx="25">
                  <c:v>9.25</c:v>
                </c:pt>
                <c:pt idx="26">
                  <c:v>9.5</c:v>
                </c:pt>
                <c:pt idx="27">
                  <c:v>9.75</c:v>
                </c:pt>
                <c:pt idx="28">
                  <c:v>10</c:v>
                </c:pt>
                <c:pt idx="29">
                  <c:v>10.25</c:v>
                </c:pt>
                <c:pt idx="30">
                  <c:v>10.5</c:v>
                </c:pt>
                <c:pt idx="31">
                  <c:v>10.75</c:v>
                </c:pt>
                <c:pt idx="32">
                  <c:v>11</c:v>
                </c:pt>
                <c:pt idx="33">
                  <c:v>11.25</c:v>
                </c:pt>
                <c:pt idx="34">
                  <c:v>11.5</c:v>
                </c:pt>
                <c:pt idx="35">
                  <c:v>11.75</c:v>
                </c:pt>
                <c:pt idx="36">
                  <c:v>12</c:v>
                </c:pt>
              </c:numCache>
            </c:numRef>
          </c:xVal>
          <c:yVal>
            <c:numRef>
              <c:f>demo_data!$P$14:$P$41</c:f>
              <c:numCache>
                <c:formatCode>General</c:formatCode>
                <c:ptCount val="28"/>
                <c:pt idx="0">
                  <c:v>6737</c:v>
                </c:pt>
                <c:pt idx="1">
                  <c:v>6737</c:v>
                </c:pt>
                <c:pt idx="2">
                  <c:v>6737</c:v>
                </c:pt>
                <c:pt idx="3">
                  <c:v>6737</c:v>
                </c:pt>
                <c:pt idx="4">
                  <c:v>6737</c:v>
                </c:pt>
                <c:pt idx="5">
                  <c:v>6737</c:v>
                </c:pt>
                <c:pt idx="6">
                  <c:v>6737</c:v>
                </c:pt>
                <c:pt idx="7">
                  <c:v>6737</c:v>
                </c:pt>
                <c:pt idx="8">
                  <c:v>6737</c:v>
                </c:pt>
                <c:pt idx="9">
                  <c:v>6737</c:v>
                </c:pt>
                <c:pt idx="10">
                  <c:v>6737</c:v>
                </c:pt>
                <c:pt idx="11">
                  <c:v>6737</c:v>
                </c:pt>
                <c:pt idx="12">
                  <c:v>6737</c:v>
                </c:pt>
                <c:pt idx="13">
                  <c:v>6737</c:v>
                </c:pt>
                <c:pt idx="14">
                  <c:v>6737</c:v>
                </c:pt>
                <c:pt idx="15">
                  <c:v>6737</c:v>
                </c:pt>
                <c:pt idx="16">
                  <c:v>6737</c:v>
                </c:pt>
              </c:numCache>
            </c:numRef>
          </c:yVal>
          <c:smooth val="1"/>
          <c:extLst>
            <c:ext xmlns:c16="http://schemas.microsoft.com/office/drawing/2014/chart" uri="{C3380CC4-5D6E-409C-BE32-E72D297353CC}">
              <c16:uniqueId val="{00000004-F71B-4F58-A2D7-C674F595099D}"/>
            </c:ext>
          </c:extLst>
        </c:ser>
        <c:ser>
          <c:idx val="7"/>
          <c:order val="5"/>
          <c:spPr>
            <a:ln w="38100">
              <a:solidFill>
                <a:schemeClr val="bg1">
                  <a:lumMod val="65000"/>
                </a:schemeClr>
              </a:solidFill>
            </a:ln>
          </c:spPr>
          <c:marker>
            <c:symbol val="none"/>
          </c:marker>
          <c:xVal>
            <c:numRef>
              <c:f>demo_data!$C$14:$C$50</c:f>
              <c:numCache>
                <c:formatCode>General</c:formatCode>
                <c:ptCount val="37"/>
                <c:pt idx="0">
                  <c:v>3</c:v>
                </c:pt>
                <c:pt idx="1">
                  <c:v>3.25</c:v>
                </c:pt>
                <c:pt idx="2">
                  <c:v>3.5</c:v>
                </c:pt>
                <c:pt idx="3">
                  <c:v>3.75</c:v>
                </c:pt>
                <c:pt idx="4">
                  <c:v>4</c:v>
                </c:pt>
                <c:pt idx="5">
                  <c:v>4.25</c:v>
                </c:pt>
                <c:pt idx="6">
                  <c:v>4.5</c:v>
                </c:pt>
                <c:pt idx="7">
                  <c:v>4.75</c:v>
                </c:pt>
                <c:pt idx="8">
                  <c:v>5</c:v>
                </c:pt>
                <c:pt idx="9">
                  <c:v>5.25</c:v>
                </c:pt>
                <c:pt idx="10">
                  <c:v>5.5</c:v>
                </c:pt>
                <c:pt idx="11">
                  <c:v>5.75</c:v>
                </c:pt>
                <c:pt idx="12">
                  <c:v>6</c:v>
                </c:pt>
                <c:pt idx="13">
                  <c:v>6.25</c:v>
                </c:pt>
                <c:pt idx="14">
                  <c:v>6.5</c:v>
                </c:pt>
                <c:pt idx="15">
                  <c:v>6.75</c:v>
                </c:pt>
                <c:pt idx="16">
                  <c:v>7</c:v>
                </c:pt>
                <c:pt idx="17">
                  <c:v>7.25</c:v>
                </c:pt>
                <c:pt idx="18">
                  <c:v>7.5</c:v>
                </c:pt>
                <c:pt idx="19">
                  <c:v>7.75</c:v>
                </c:pt>
                <c:pt idx="20">
                  <c:v>8</c:v>
                </c:pt>
                <c:pt idx="21">
                  <c:v>8.25</c:v>
                </c:pt>
                <c:pt idx="22">
                  <c:v>8.5</c:v>
                </c:pt>
                <c:pt idx="23">
                  <c:v>8.75</c:v>
                </c:pt>
                <c:pt idx="24">
                  <c:v>9</c:v>
                </c:pt>
                <c:pt idx="25">
                  <c:v>9.25</c:v>
                </c:pt>
                <c:pt idx="26">
                  <c:v>9.5</c:v>
                </c:pt>
                <c:pt idx="27">
                  <c:v>9.75</c:v>
                </c:pt>
                <c:pt idx="28">
                  <c:v>10</c:v>
                </c:pt>
                <c:pt idx="29">
                  <c:v>10.25</c:v>
                </c:pt>
                <c:pt idx="30">
                  <c:v>10.5</c:v>
                </c:pt>
                <c:pt idx="31">
                  <c:v>10.75</c:v>
                </c:pt>
                <c:pt idx="32">
                  <c:v>11</c:v>
                </c:pt>
                <c:pt idx="33">
                  <c:v>11.25</c:v>
                </c:pt>
                <c:pt idx="34">
                  <c:v>11.5</c:v>
                </c:pt>
                <c:pt idx="35">
                  <c:v>11.75</c:v>
                </c:pt>
                <c:pt idx="36">
                  <c:v>12</c:v>
                </c:pt>
              </c:numCache>
            </c:numRef>
          </c:xVal>
          <c:yVal>
            <c:numRef>
              <c:f>demo_data!$Q$14:$Q$41</c:f>
              <c:numCache>
                <c:formatCode>General</c:formatCode>
                <c:ptCount val="28"/>
                <c:pt idx="0">
                  <c:v>3372</c:v>
                </c:pt>
                <c:pt idx="1">
                  <c:v>3372</c:v>
                </c:pt>
                <c:pt idx="2">
                  <c:v>3372</c:v>
                </c:pt>
                <c:pt idx="3">
                  <c:v>3372</c:v>
                </c:pt>
                <c:pt idx="4">
                  <c:v>3372</c:v>
                </c:pt>
                <c:pt idx="5">
                  <c:v>3372</c:v>
                </c:pt>
                <c:pt idx="6">
                  <c:v>3372</c:v>
                </c:pt>
                <c:pt idx="7">
                  <c:v>3372</c:v>
                </c:pt>
                <c:pt idx="8">
                  <c:v>3372</c:v>
                </c:pt>
                <c:pt idx="9">
                  <c:v>3372</c:v>
                </c:pt>
                <c:pt idx="10">
                  <c:v>3372</c:v>
                </c:pt>
                <c:pt idx="11">
                  <c:v>3372</c:v>
                </c:pt>
                <c:pt idx="12">
                  <c:v>3372</c:v>
                </c:pt>
                <c:pt idx="13">
                  <c:v>3372</c:v>
                </c:pt>
                <c:pt idx="14">
                  <c:v>3372</c:v>
                </c:pt>
                <c:pt idx="15">
                  <c:v>3372</c:v>
                </c:pt>
                <c:pt idx="16">
                  <c:v>3372</c:v>
                </c:pt>
              </c:numCache>
            </c:numRef>
          </c:yVal>
          <c:smooth val="1"/>
          <c:extLst>
            <c:ext xmlns:c16="http://schemas.microsoft.com/office/drawing/2014/chart" uri="{C3380CC4-5D6E-409C-BE32-E72D297353CC}">
              <c16:uniqueId val="{00000005-F71B-4F58-A2D7-C674F595099D}"/>
            </c:ext>
          </c:extLst>
        </c:ser>
        <c:dLbls>
          <c:showLegendKey val="0"/>
          <c:showVal val="0"/>
          <c:showCatName val="0"/>
          <c:showSerName val="0"/>
          <c:showPercent val="0"/>
          <c:showBubbleSize val="0"/>
        </c:dLbls>
        <c:axId val="2101125448"/>
        <c:axId val="2101131176"/>
      </c:scatterChart>
      <c:valAx>
        <c:axId val="2101125448"/>
        <c:scaling>
          <c:orientation val="minMax"/>
          <c:max val="12"/>
          <c:min val="3"/>
        </c:scaling>
        <c:delete val="0"/>
        <c:axPos val="b"/>
        <c:majorGridlines/>
        <c:title>
          <c:tx>
            <c:rich>
              <a:bodyPr anchor="ctr" anchorCtr="1"/>
              <a:lstStyle/>
              <a:p>
                <a:pPr>
                  <a:defRPr>
                    <a:latin typeface="Arial"/>
                    <a:cs typeface="Arial"/>
                  </a:defRPr>
                </a:pPr>
                <a:r>
                  <a:rPr lang="en-US">
                    <a:latin typeface="Arial"/>
                    <a:cs typeface="Arial"/>
                  </a:rPr>
                  <a:t>Time</a:t>
                </a:r>
              </a:p>
            </c:rich>
          </c:tx>
          <c:overlay val="0"/>
        </c:title>
        <c:numFmt formatCode="General" sourceLinked="1"/>
        <c:majorTickMark val="out"/>
        <c:minorTickMark val="none"/>
        <c:tickLblPos val="none"/>
        <c:spPr>
          <a:ln>
            <a:solidFill>
              <a:schemeClr val="tx1"/>
            </a:solidFill>
          </a:ln>
        </c:spPr>
        <c:crossAx val="2101131176"/>
        <c:crosses val="autoZero"/>
        <c:crossBetween val="midCat"/>
        <c:majorUnit val="2"/>
      </c:valAx>
      <c:valAx>
        <c:axId val="2101131176"/>
        <c:scaling>
          <c:orientation val="minMax"/>
          <c:max val="22500"/>
        </c:scaling>
        <c:delete val="0"/>
        <c:axPos val="l"/>
        <c:title>
          <c:tx>
            <c:rich>
              <a:bodyPr rot="-5400000" vert="horz"/>
              <a:lstStyle/>
              <a:p>
                <a:pPr>
                  <a:defRPr>
                    <a:latin typeface="Arial"/>
                    <a:cs typeface="Arial"/>
                  </a:defRPr>
                </a:pPr>
                <a:r>
                  <a:rPr lang="en-US">
                    <a:latin typeface="Arial"/>
                    <a:cs typeface="Arial"/>
                  </a:rPr>
                  <a:t>Fluorescence</a:t>
                </a:r>
              </a:p>
            </c:rich>
          </c:tx>
          <c:overlay val="0"/>
        </c:title>
        <c:numFmt formatCode="General" sourceLinked="1"/>
        <c:majorTickMark val="out"/>
        <c:minorTickMark val="none"/>
        <c:tickLblPos val="none"/>
        <c:crossAx val="2101125448"/>
        <c:crosses val="autoZero"/>
        <c:crossBetween val="midCat"/>
        <c:minorUnit val="2500"/>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scatterChart>
        <c:scatterStyle val="smoothMarker"/>
        <c:varyColors val="0"/>
        <c:ser>
          <c:idx val="0"/>
          <c:order val="0"/>
          <c:tx>
            <c:strRef>
              <c:f>demo_data!$D$1</c:f>
              <c:strCache>
                <c:ptCount val="1"/>
                <c:pt idx="0">
                  <c:v>A1</c:v>
                </c:pt>
              </c:strCache>
            </c:strRef>
          </c:tx>
          <c:spPr>
            <a:ln w="38100">
              <a:solidFill>
                <a:schemeClr val="tx1"/>
              </a:solidFill>
            </a:ln>
          </c:spPr>
          <c:marker>
            <c:symbol val="none"/>
          </c:marker>
          <c:xVal>
            <c:numRef>
              <c:f>demo_data!$C$14:$C$50</c:f>
              <c:numCache>
                <c:formatCode>General</c:formatCode>
                <c:ptCount val="37"/>
                <c:pt idx="0">
                  <c:v>3</c:v>
                </c:pt>
                <c:pt idx="1">
                  <c:v>3.25</c:v>
                </c:pt>
                <c:pt idx="2">
                  <c:v>3.5</c:v>
                </c:pt>
                <c:pt idx="3">
                  <c:v>3.75</c:v>
                </c:pt>
                <c:pt idx="4">
                  <c:v>4</c:v>
                </c:pt>
                <c:pt idx="5">
                  <c:v>4.25</c:v>
                </c:pt>
                <c:pt idx="6">
                  <c:v>4.5</c:v>
                </c:pt>
                <c:pt idx="7">
                  <c:v>4.75</c:v>
                </c:pt>
                <c:pt idx="8">
                  <c:v>5</c:v>
                </c:pt>
                <c:pt idx="9">
                  <c:v>5.25</c:v>
                </c:pt>
                <c:pt idx="10">
                  <c:v>5.5</c:v>
                </c:pt>
                <c:pt idx="11">
                  <c:v>5.75</c:v>
                </c:pt>
                <c:pt idx="12">
                  <c:v>6</c:v>
                </c:pt>
                <c:pt idx="13">
                  <c:v>6.25</c:v>
                </c:pt>
                <c:pt idx="14">
                  <c:v>6.5</c:v>
                </c:pt>
                <c:pt idx="15">
                  <c:v>6.75</c:v>
                </c:pt>
                <c:pt idx="16">
                  <c:v>7</c:v>
                </c:pt>
                <c:pt idx="17">
                  <c:v>7.25</c:v>
                </c:pt>
                <c:pt idx="18">
                  <c:v>7.5</c:v>
                </c:pt>
                <c:pt idx="19">
                  <c:v>7.75</c:v>
                </c:pt>
                <c:pt idx="20">
                  <c:v>8</c:v>
                </c:pt>
                <c:pt idx="21">
                  <c:v>8.25</c:v>
                </c:pt>
                <c:pt idx="22">
                  <c:v>8.5</c:v>
                </c:pt>
                <c:pt idx="23">
                  <c:v>8.75</c:v>
                </c:pt>
                <c:pt idx="24">
                  <c:v>9</c:v>
                </c:pt>
                <c:pt idx="25">
                  <c:v>9.25</c:v>
                </c:pt>
                <c:pt idx="26">
                  <c:v>9.5</c:v>
                </c:pt>
                <c:pt idx="27">
                  <c:v>9.75</c:v>
                </c:pt>
                <c:pt idx="28">
                  <c:v>10</c:v>
                </c:pt>
                <c:pt idx="29">
                  <c:v>10.25</c:v>
                </c:pt>
                <c:pt idx="30">
                  <c:v>10.5</c:v>
                </c:pt>
                <c:pt idx="31">
                  <c:v>10.75</c:v>
                </c:pt>
                <c:pt idx="32">
                  <c:v>11</c:v>
                </c:pt>
                <c:pt idx="33">
                  <c:v>11.25</c:v>
                </c:pt>
                <c:pt idx="34">
                  <c:v>11.5</c:v>
                </c:pt>
                <c:pt idx="35">
                  <c:v>11.75</c:v>
                </c:pt>
                <c:pt idx="36">
                  <c:v>12</c:v>
                </c:pt>
              </c:numCache>
            </c:numRef>
          </c:xVal>
          <c:yVal>
            <c:numRef>
              <c:f>demo_data!$D$14:$D$50</c:f>
              <c:numCache>
                <c:formatCode>General</c:formatCode>
                <c:ptCount val="37"/>
                <c:pt idx="0">
                  <c:v>815</c:v>
                </c:pt>
                <c:pt idx="1">
                  <c:v>937</c:v>
                </c:pt>
                <c:pt idx="2">
                  <c:v>1113</c:v>
                </c:pt>
                <c:pt idx="3">
                  <c:v>1383</c:v>
                </c:pt>
                <c:pt idx="4">
                  <c:v>1934</c:v>
                </c:pt>
                <c:pt idx="5">
                  <c:v>2550</c:v>
                </c:pt>
                <c:pt idx="6">
                  <c:v>3231</c:v>
                </c:pt>
                <c:pt idx="7">
                  <c:v>3928</c:v>
                </c:pt>
                <c:pt idx="8">
                  <c:v>4700</c:v>
                </c:pt>
                <c:pt idx="9">
                  <c:v>5428</c:v>
                </c:pt>
                <c:pt idx="10">
                  <c:v>6215</c:v>
                </c:pt>
                <c:pt idx="11">
                  <c:v>6967</c:v>
                </c:pt>
                <c:pt idx="12">
                  <c:v>7701</c:v>
                </c:pt>
                <c:pt idx="13">
                  <c:v>8382</c:v>
                </c:pt>
                <c:pt idx="14">
                  <c:v>9109</c:v>
                </c:pt>
                <c:pt idx="15">
                  <c:v>9825</c:v>
                </c:pt>
                <c:pt idx="16">
                  <c:v>10514</c:v>
                </c:pt>
                <c:pt idx="17">
                  <c:v>11196</c:v>
                </c:pt>
                <c:pt idx="18">
                  <c:v>11876</c:v>
                </c:pt>
                <c:pt idx="19">
                  <c:v>12545</c:v>
                </c:pt>
                <c:pt idx="20">
                  <c:v>13239</c:v>
                </c:pt>
                <c:pt idx="21">
                  <c:v>13951</c:v>
                </c:pt>
                <c:pt idx="22">
                  <c:v>14583</c:v>
                </c:pt>
                <c:pt idx="23">
                  <c:v>15193</c:v>
                </c:pt>
                <c:pt idx="24">
                  <c:v>15771</c:v>
                </c:pt>
                <c:pt idx="25">
                  <c:v>16443</c:v>
                </c:pt>
                <c:pt idx="26">
                  <c:v>17042</c:v>
                </c:pt>
                <c:pt idx="27">
                  <c:v>17568</c:v>
                </c:pt>
                <c:pt idx="28">
                  <c:v>18165</c:v>
                </c:pt>
                <c:pt idx="29">
                  <c:v>18656</c:v>
                </c:pt>
                <c:pt idx="30">
                  <c:v>19232</c:v>
                </c:pt>
                <c:pt idx="31">
                  <c:v>19766</c:v>
                </c:pt>
                <c:pt idx="32">
                  <c:v>20143</c:v>
                </c:pt>
                <c:pt idx="33">
                  <c:v>20605</c:v>
                </c:pt>
                <c:pt idx="34">
                  <c:v>21071</c:v>
                </c:pt>
                <c:pt idx="35">
                  <c:v>21524</c:v>
                </c:pt>
                <c:pt idx="36">
                  <c:v>21996</c:v>
                </c:pt>
              </c:numCache>
            </c:numRef>
          </c:yVal>
          <c:smooth val="1"/>
          <c:extLst>
            <c:ext xmlns:c16="http://schemas.microsoft.com/office/drawing/2014/chart" uri="{C3380CC4-5D6E-409C-BE32-E72D297353CC}">
              <c16:uniqueId val="{00000000-3AE5-4201-B060-12E495D7E17B}"/>
            </c:ext>
          </c:extLst>
        </c:ser>
        <c:ser>
          <c:idx val="1"/>
          <c:order val="1"/>
          <c:tx>
            <c:strRef>
              <c:f>demo_data!$E$1</c:f>
              <c:strCache>
                <c:ptCount val="1"/>
                <c:pt idx="0">
                  <c:v>A2</c:v>
                </c:pt>
              </c:strCache>
            </c:strRef>
          </c:tx>
          <c:spPr>
            <a:ln w="38100">
              <a:solidFill>
                <a:schemeClr val="bg1">
                  <a:lumMod val="50000"/>
                </a:schemeClr>
              </a:solidFill>
            </a:ln>
          </c:spPr>
          <c:marker>
            <c:symbol val="none"/>
          </c:marker>
          <c:xVal>
            <c:numRef>
              <c:f>demo_data!$C$14:$C$50</c:f>
              <c:numCache>
                <c:formatCode>General</c:formatCode>
                <c:ptCount val="37"/>
                <c:pt idx="0">
                  <c:v>3</c:v>
                </c:pt>
                <c:pt idx="1">
                  <c:v>3.25</c:v>
                </c:pt>
                <c:pt idx="2">
                  <c:v>3.5</c:v>
                </c:pt>
                <c:pt idx="3">
                  <c:v>3.75</c:v>
                </c:pt>
                <c:pt idx="4">
                  <c:v>4</c:v>
                </c:pt>
                <c:pt idx="5">
                  <c:v>4.25</c:v>
                </c:pt>
                <c:pt idx="6">
                  <c:v>4.5</c:v>
                </c:pt>
                <c:pt idx="7">
                  <c:v>4.75</c:v>
                </c:pt>
                <c:pt idx="8">
                  <c:v>5</c:v>
                </c:pt>
                <c:pt idx="9">
                  <c:v>5.25</c:v>
                </c:pt>
                <c:pt idx="10">
                  <c:v>5.5</c:v>
                </c:pt>
                <c:pt idx="11">
                  <c:v>5.75</c:v>
                </c:pt>
                <c:pt idx="12">
                  <c:v>6</c:v>
                </c:pt>
                <c:pt idx="13">
                  <c:v>6.25</c:v>
                </c:pt>
                <c:pt idx="14">
                  <c:v>6.5</c:v>
                </c:pt>
                <c:pt idx="15">
                  <c:v>6.75</c:v>
                </c:pt>
                <c:pt idx="16">
                  <c:v>7</c:v>
                </c:pt>
                <c:pt idx="17">
                  <c:v>7.25</c:v>
                </c:pt>
                <c:pt idx="18">
                  <c:v>7.5</c:v>
                </c:pt>
                <c:pt idx="19">
                  <c:v>7.75</c:v>
                </c:pt>
                <c:pt idx="20">
                  <c:v>8</c:v>
                </c:pt>
                <c:pt idx="21">
                  <c:v>8.25</c:v>
                </c:pt>
                <c:pt idx="22">
                  <c:v>8.5</c:v>
                </c:pt>
                <c:pt idx="23">
                  <c:v>8.75</c:v>
                </c:pt>
                <c:pt idx="24">
                  <c:v>9</c:v>
                </c:pt>
                <c:pt idx="25">
                  <c:v>9.25</c:v>
                </c:pt>
                <c:pt idx="26">
                  <c:v>9.5</c:v>
                </c:pt>
                <c:pt idx="27">
                  <c:v>9.75</c:v>
                </c:pt>
                <c:pt idx="28">
                  <c:v>10</c:v>
                </c:pt>
                <c:pt idx="29">
                  <c:v>10.25</c:v>
                </c:pt>
                <c:pt idx="30">
                  <c:v>10.5</c:v>
                </c:pt>
                <c:pt idx="31">
                  <c:v>10.75</c:v>
                </c:pt>
                <c:pt idx="32">
                  <c:v>11</c:v>
                </c:pt>
                <c:pt idx="33">
                  <c:v>11.25</c:v>
                </c:pt>
                <c:pt idx="34">
                  <c:v>11.5</c:v>
                </c:pt>
                <c:pt idx="35">
                  <c:v>11.75</c:v>
                </c:pt>
                <c:pt idx="36">
                  <c:v>12</c:v>
                </c:pt>
              </c:numCache>
            </c:numRef>
          </c:xVal>
          <c:yVal>
            <c:numRef>
              <c:f>demo_data!$E$14:$E$50</c:f>
              <c:numCache>
                <c:formatCode>General</c:formatCode>
                <c:ptCount val="37"/>
                <c:pt idx="0">
                  <c:v>857</c:v>
                </c:pt>
                <c:pt idx="1">
                  <c:v>953</c:v>
                </c:pt>
                <c:pt idx="2">
                  <c:v>1080</c:v>
                </c:pt>
                <c:pt idx="3">
                  <c:v>1260</c:v>
                </c:pt>
                <c:pt idx="4">
                  <c:v>1474</c:v>
                </c:pt>
                <c:pt idx="5">
                  <c:v>1744</c:v>
                </c:pt>
                <c:pt idx="6">
                  <c:v>2062</c:v>
                </c:pt>
                <c:pt idx="7">
                  <c:v>2443</c:v>
                </c:pt>
                <c:pt idx="8">
                  <c:v>2835</c:v>
                </c:pt>
                <c:pt idx="9">
                  <c:v>3268</c:v>
                </c:pt>
                <c:pt idx="10">
                  <c:v>3694</c:v>
                </c:pt>
                <c:pt idx="11">
                  <c:v>4138</c:v>
                </c:pt>
                <c:pt idx="12">
                  <c:v>4606</c:v>
                </c:pt>
                <c:pt idx="13">
                  <c:v>5114</c:v>
                </c:pt>
                <c:pt idx="14">
                  <c:v>5652</c:v>
                </c:pt>
                <c:pt idx="15">
                  <c:v>6181</c:v>
                </c:pt>
                <c:pt idx="16">
                  <c:v>6737</c:v>
                </c:pt>
                <c:pt idx="17">
                  <c:v>7286</c:v>
                </c:pt>
                <c:pt idx="18">
                  <c:v>7881</c:v>
                </c:pt>
                <c:pt idx="19">
                  <c:v>8409</c:v>
                </c:pt>
                <c:pt idx="20">
                  <c:v>9008</c:v>
                </c:pt>
                <c:pt idx="21">
                  <c:v>9529</c:v>
                </c:pt>
                <c:pt idx="22">
                  <c:v>10081</c:v>
                </c:pt>
                <c:pt idx="23">
                  <c:v>10632</c:v>
                </c:pt>
                <c:pt idx="24">
                  <c:v>11118</c:v>
                </c:pt>
                <c:pt idx="25">
                  <c:v>11629</c:v>
                </c:pt>
                <c:pt idx="26">
                  <c:v>12131</c:v>
                </c:pt>
                <c:pt idx="27">
                  <c:v>12617</c:v>
                </c:pt>
                <c:pt idx="28">
                  <c:v>13038</c:v>
                </c:pt>
                <c:pt idx="29">
                  <c:v>13527</c:v>
                </c:pt>
                <c:pt idx="30">
                  <c:v>13887</c:v>
                </c:pt>
                <c:pt idx="31">
                  <c:v>14296</c:v>
                </c:pt>
                <c:pt idx="32">
                  <c:v>14765</c:v>
                </c:pt>
                <c:pt idx="33">
                  <c:v>15192</c:v>
                </c:pt>
                <c:pt idx="34">
                  <c:v>15503</c:v>
                </c:pt>
                <c:pt idx="35">
                  <c:v>15853</c:v>
                </c:pt>
                <c:pt idx="36">
                  <c:v>16166</c:v>
                </c:pt>
              </c:numCache>
            </c:numRef>
          </c:yVal>
          <c:smooth val="1"/>
          <c:extLst>
            <c:ext xmlns:c16="http://schemas.microsoft.com/office/drawing/2014/chart" uri="{C3380CC4-5D6E-409C-BE32-E72D297353CC}">
              <c16:uniqueId val="{00000001-3AE5-4201-B060-12E495D7E17B}"/>
            </c:ext>
          </c:extLst>
        </c:ser>
        <c:ser>
          <c:idx val="2"/>
          <c:order val="2"/>
          <c:tx>
            <c:strRef>
              <c:f>demo_data!$F$1</c:f>
              <c:strCache>
                <c:ptCount val="1"/>
                <c:pt idx="0">
                  <c:v>A3</c:v>
                </c:pt>
              </c:strCache>
            </c:strRef>
          </c:tx>
          <c:spPr>
            <a:ln w="38100">
              <a:solidFill>
                <a:schemeClr val="bg1">
                  <a:lumMod val="65000"/>
                </a:schemeClr>
              </a:solidFill>
            </a:ln>
          </c:spPr>
          <c:marker>
            <c:symbol val="none"/>
          </c:marker>
          <c:xVal>
            <c:numRef>
              <c:f>demo_data!$C$14:$C$50</c:f>
              <c:numCache>
                <c:formatCode>General</c:formatCode>
                <c:ptCount val="37"/>
                <c:pt idx="0">
                  <c:v>3</c:v>
                </c:pt>
                <c:pt idx="1">
                  <c:v>3.25</c:v>
                </c:pt>
                <c:pt idx="2">
                  <c:v>3.5</c:v>
                </c:pt>
                <c:pt idx="3">
                  <c:v>3.75</c:v>
                </c:pt>
                <c:pt idx="4">
                  <c:v>4</c:v>
                </c:pt>
                <c:pt idx="5">
                  <c:v>4.25</c:v>
                </c:pt>
                <c:pt idx="6">
                  <c:v>4.5</c:v>
                </c:pt>
                <c:pt idx="7">
                  <c:v>4.75</c:v>
                </c:pt>
                <c:pt idx="8">
                  <c:v>5</c:v>
                </c:pt>
                <c:pt idx="9">
                  <c:v>5.25</c:v>
                </c:pt>
                <c:pt idx="10">
                  <c:v>5.5</c:v>
                </c:pt>
                <c:pt idx="11">
                  <c:v>5.75</c:v>
                </c:pt>
                <c:pt idx="12">
                  <c:v>6</c:v>
                </c:pt>
                <c:pt idx="13">
                  <c:v>6.25</c:v>
                </c:pt>
                <c:pt idx="14">
                  <c:v>6.5</c:v>
                </c:pt>
                <c:pt idx="15">
                  <c:v>6.75</c:v>
                </c:pt>
                <c:pt idx="16">
                  <c:v>7</c:v>
                </c:pt>
                <c:pt idx="17">
                  <c:v>7.25</c:v>
                </c:pt>
                <c:pt idx="18">
                  <c:v>7.5</c:v>
                </c:pt>
                <c:pt idx="19">
                  <c:v>7.75</c:v>
                </c:pt>
                <c:pt idx="20">
                  <c:v>8</c:v>
                </c:pt>
                <c:pt idx="21">
                  <c:v>8.25</c:v>
                </c:pt>
                <c:pt idx="22">
                  <c:v>8.5</c:v>
                </c:pt>
                <c:pt idx="23">
                  <c:v>8.75</c:v>
                </c:pt>
                <c:pt idx="24">
                  <c:v>9</c:v>
                </c:pt>
                <c:pt idx="25">
                  <c:v>9.25</c:v>
                </c:pt>
                <c:pt idx="26">
                  <c:v>9.5</c:v>
                </c:pt>
                <c:pt idx="27">
                  <c:v>9.75</c:v>
                </c:pt>
                <c:pt idx="28">
                  <c:v>10</c:v>
                </c:pt>
                <c:pt idx="29">
                  <c:v>10.25</c:v>
                </c:pt>
                <c:pt idx="30">
                  <c:v>10.5</c:v>
                </c:pt>
                <c:pt idx="31">
                  <c:v>10.75</c:v>
                </c:pt>
                <c:pt idx="32">
                  <c:v>11</c:v>
                </c:pt>
                <c:pt idx="33">
                  <c:v>11.25</c:v>
                </c:pt>
                <c:pt idx="34">
                  <c:v>11.5</c:v>
                </c:pt>
                <c:pt idx="35">
                  <c:v>11.75</c:v>
                </c:pt>
                <c:pt idx="36">
                  <c:v>12</c:v>
                </c:pt>
              </c:numCache>
            </c:numRef>
          </c:xVal>
          <c:yVal>
            <c:numRef>
              <c:f>demo_data!$F$14:$F$50</c:f>
              <c:numCache>
                <c:formatCode>General</c:formatCode>
                <c:ptCount val="37"/>
                <c:pt idx="0">
                  <c:v>707</c:v>
                </c:pt>
                <c:pt idx="1">
                  <c:v>717</c:v>
                </c:pt>
                <c:pt idx="2">
                  <c:v>737</c:v>
                </c:pt>
                <c:pt idx="3">
                  <c:v>757</c:v>
                </c:pt>
                <c:pt idx="4">
                  <c:v>802</c:v>
                </c:pt>
                <c:pt idx="5">
                  <c:v>852</c:v>
                </c:pt>
                <c:pt idx="6">
                  <c:v>919</c:v>
                </c:pt>
                <c:pt idx="7">
                  <c:v>1000</c:v>
                </c:pt>
                <c:pt idx="8">
                  <c:v>1095</c:v>
                </c:pt>
                <c:pt idx="9">
                  <c:v>1214</c:v>
                </c:pt>
                <c:pt idx="10">
                  <c:v>1370</c:v>
                </c:pt>
                <c:pt idx="11">
                  <c:v>1564</c:v>
                </c:pt>
                <c:pt idx="12">
                  <c:v>1812</c:v>
                </c:pt>
                <c:pt idx="13">
                  <c:v>2110</c:v>
                </c:pt>
                <c:pt idx="14">
                  <c:v>2500</c:v>
                </c:pt>
                <c:pt idx="15">
                  <c:v>2914</c:v>
                </c:pt>
                <c:pt idx="16">
                  <c:v>3372</c:v>
                </c:pt>
                <c:pt idx="17">
                  <c:v>3858</c:v>
                </c:pt>
                <c:pt idx="18">
                  <c:v>4364</c:v>
                </c:pt>
                <c:pt idx="19">
                  <c:v>4878</c:v>
                </c:pt>
                <c:pt idx="20">
                  <c:v>5409</c:v>
                </c:pt>
                <c:pt idx="21">
                  <c:v>5953</c:v>
                </c:pt>
                <c:pt idx="22">
                  <c:v>6455</c:v>
                </c:pt>
                <c:pt idx="23">
                  <c:v>7017</c:v>
                </c:pt>
                <c:pt idx="24">
                  <c:v>7497</c:v>
                </c:pt>
                <c:pt idx="25">
                  <c:v>8026</c:v>
                </c:pt>
                <c:pt idx="26">
                  <c:v>8515</c:v>
                </c:pt>
                <c:pt idx="27">
                  <c:v>8987</c:v>
                </c:pt>
                <c:pt idx="28">
                  <c:v>9447</c:v>
                </c:pt>
                <c:pt idx="29">
                  <c:v>9932</c:v>
                </c:pt>
                <c:pt idx="30">
                  <c:v>10384</c:v>
                </c:pt>
                <c:pt idx="31">
                  <c:v>10828</c:v>
                </c:pt>
                <c:pt idx="32">
                  <c:v>11385</c:v>
                </c:pt>
                <c:pt idx="33">
                  <c:v>11846</c:v>
                </c:pt>
                <c:pt idx="34">
                  <c:v>12285</c:v>
                </c:pt>
                <c:pt idx="35">
                  <c:v>12754</c:v>
                </c:pt>
                <c:pt idx="36">
                  <c:v>13172</c:v>
                </c:pt>
              </c:numCache>
            </c:numRef>
          </c:yVal>
          <c:smooth val="1"/>
          <c:extLst>
            <c:ext xmlns:c16="http://schemas.microsoft.com/office/drawing/2014/chart" uri="{C3380CC4-5D6E-409C-BE32-E72D297353CC}">
              <c16:uniqueId val="{00000002-3AE5-4201-B060-12E495D7E17B}"/>
            </c:ext>
          </c:extLst>
        </c:ser>
        <c:ser>
          <c:idx val="7"/>
          <c:order val="3"/>
          <c:spPr>
            <a:ln w="38100" cmpd="sng">
              <a:solidFill>
                <a:schemeClr val="bg1">
                  <a:lumMod val="65000"/>
                </a:schemeClr>
              </a:solidFill>
            </a:ln>
          </c:spPr>
          <c:marker>
            <c:symbol val="none"/>
          </c:marker>
          <c:xVal>
            <c:numRef>
              <c:f>demo_data!$L$2:$L$12</c:f>
              <c:numCache>
                <c:formatCode>General</c:formatCode>
                <c:ptCount val="11"/>
                <c:pt idx="0">
                  <c:v>8.99</c:v>
                </c:pt>
                <c:pt idx="1">
                  <c:v>8.99</c:v>
                </c:pt>
                <c:pt idx="2">
                  <c:v>8.99</c:v>
                </c:pt>
                <c:pt idx="3">
                  <c:v>8.99</c:v>
                </c:pt>
                <c:pt idx="4">
                  <c:v>8.99</c:v>
                </c:pt>
                <c:pt idx="5">
                  <c:v>8.99</c:v>
                </c:pt>
                <c:pt idx="6">
                  <c:v>8.99</c:v>
                </c:pt>
                <c:pt idx="7">
                  <c:v>8.99</c:v>
                </c:pt>
                <c:pt idx="8">
                  <c:v>8.99</c:v>
                </c:pt>
                <c:pt idx="9">
                  <c:v>8.99</c:v>
                </c:pt>
                <c:pt idx="10">
                  <c:v>8.99</c:v>
                </c:pt>
              </c:numCache>
            </c:numRef>
          </c:xVal>
          <c:yVal>
            <c:numRef>
              <c:f>demo_data!$I$2:$I$12</c:f>
              <c:numCache>
                <c:formatCode>General</c:formatCode>
                <c:ptCount val="11"/>
                <c:pt idx="0">
                  <c:v>7500</c:v>
                </c:pt>
                <c:pt idx="1">
                  <c:v>6750</c:v>
                </c:pt>
                <c:pt idx="2">
                  <c:v>6000</c:v>
                </c:pt>
                <c:pt idx="3">
                  <c:v>5250</c:v>
                </c:pt>
                <c:pt idx="4">
                  <c:v>4500</c:v>
                </c:pt>
                <c:pt idx="5">
                  <c:v>3750</c:v>
                </c:pt>
                <c:pt idx="6">
                  <c:v>3000</c:v>
                </c:pt>
                <c:pt idx="7">
                  <c:v>2250</c:v>
                </c:pt>
                <c:pt idx="8">
                  <c:v>1500</c:v>
                </c:pt>
                <c:pt idx="9">
                  <c:v>750</c:v>
                </c:pt>
                <c:pt idx="10">
                  <c:v>0</c:v>
                </c:pt>
              </c:numCache>
            </c:numRef>
          </c:yVal>
          <c:smooth val="1"/>
          <c:extLst>
            <c:ext xmlns:c16="http://schemas.microsoft.com/office/drawing/2014/chart" uri="{C3380CC4-5D6E-409C-BE32-E72D297353CC}">
              <c16:uniqueId val="{00000003-3AE5-4201-B060-12E495D7E17B}"/>
            </c:ext>
          </c:extLst>
        </c:ser>
        <c:ser>
          <c:idx val="8"/>
          <c:order val="4"/>
          <c:spPr>
            <a:ln w="38100">
              <a:solidFill>
                <a:schemeClr val="bg1">
                  <a:lumMod val="50000"/>
                </a:schemeClr>
              </a:solidFill>
            </a:ln>
          </c:spPr>
          <c:marker>
            <c:symbol val="none"/>
          </c:marker>
          <c:xVal>
            <c:numRef>
              <c:f>demo_data!$M$2:$M$12</c:f>
              <c:numCache>
                <c:formatCode>General</c:formatCode>
                <c:ptCount val="11"/>
                <c:pt idx="0">
                  <c:v>7.35</c:v>
                </c:pt>
                <c:pt idx="1">
                  <c:v>7.35</c:v>
                </c:pt>
                <c:pt idx="2">
                  <c:v>7.35</c:v>
                </c:pt>
                <c:pt idx="3">
                  <c:v>7.35</c:v>
                </c:pt>
                <c:pt idx="4">
                  <c:v>7.35</c:v>
                </c:pt>
                <c:pt idx="5">
                  <c:v>7.35</c:v>
                </c:pt>
                <c:pt idx="6">
                  <c:v>7.35</c:v>
                </c:pt>
                <c:pt idx="7">
                  <c:v>7.35</c:v>
                </c:pt>
                <c:pt idx="8">
                  <c:v>7.35</c:v>
                </c:pt>
                <c:pt idx="9">
                  <c:v>7.35</c:v>
                </c:pt>
                <c:pt idx="10">
                  <c:v>7.35</c:v>
                </c:pt>
              </c:numCache>
            </c:numRef>
          </c:xVal>
          <c:yVal>
            <c:numRef>
              <c:f>demo_data!$I$2:$I$12</c:f>
              <c:numCache>
                <c:formatCode>General</c:formatCode>
                <c:ptCount val="11"/>
                <c:pt idx="0">
                  <c:v>7500</c:v>
                </c:pt>
                <c:pt idx="1">
                  <c:v>6750</c:v>
                </c:pt>
                <c:pt idx="2">
                  <c:v>6000</c:v>
                </c:pt>
                <c:pt idx="3">
                  <c:v>5250</c:v>
                </c:pt>
                <c:pt idx="4">
                  <c:v>4500</c:v>
                </c:pt>
                <c:pt idx="5">
                  <c:v>3750</c:v>
                </c:pt>
                <c:pt idx="6">
                  <c:v>3000</c:v>
                </c:pt>
                <c:pt idx="7">
                  <c:v>2250</c:v>
                </c:pt>
                <c:pt idx="8">
                  <c:v>1500</c:v>
                </c:pt>
                <c:pt idx="9">
                  <c:v>750</c:v>
                </c:pt>
                <c:pt idx="10">
                  <c:v>0</c:v>
                </c:pt>
              </c:numCache>
            </c:numRef>
          </c:yVal>
          <c:smooth val="1"/>
          <c:extLst>
            <c:ext xmlns:c16="http://schemas.microsoft.com/office/drawing/2014/chart" uri="{C3380CC4-5D6E-409C-BE32-E72D297353CC}">
              <c16:uniqueId val="{00000004-3AE5-4201-B060-12E495D7E17B}"/>
            </c:ext>
          </c:extLst>
        </c:ser>
        <c:ser>
          <c:idx val="9"/>
          <c:order val="5"/>
          <c:spPr>
            <a:ln w="38100">
              <a:solidFill>
                <a:schemeClr val="tx1"/>
              </a:solidFill>
            </a:ln>
          </c:spPr>
          <c:marker>
            <c:symbol val="none"/>
          </c:marker>
          <c:xVal>
            <c:numRef>
              <c:f>demo_data!$N$2:$N$12</c:f>
              <c:numCache>
                <c:formatCode>General</c:formatCode>
                <c:ptCount val="11"/>
                <c:pt idx="0">
                  <c:v>5.95</c:v>
                </c:pt>
                <c:pt idx="1">
                  <c:v>5.95</c:v>
                </c:pt>
                <c:pt idx="2">
                  <c:v>5.95</c:v>
                </c:pt>
                <c:pt idx="3">
                  <c:v>5.95</c:v>
                </c:pt>
                <c:pt idx="4">
                  <c:v>5.95</c:v>
                </c:pt>
                <c:pt idx="5">
                  <c:v>5.95</c:v>
                </c:pt>
                <c:pt idx="6">
                  <c:v>5.95</c:v>
                </c:pt>
                <c:pt idx="7">
                  <c:v>5.95</c:v>
                </c:pt>
                <c:pt idx="8">
                  <c:v>5.95</c:v>
                </c:pt>
                <c:pt idx="9">
                  <c:v>5.95</c:v>
                </c:pt>
                <c:pt idx="10">
                  <c:v>5.95</c:v>
                </c:pt>
              </c:numCache>
            </c:numRef>
          </c:xVal>
          <c:yVal>
            <c:numRef>
              <c:f>demo_data!$I$2:$I$12</c:f>
              <c:numCache>
                <c:formatCode>General</c:formatCode>
                <c:ptCount val="11"/>
                <c:pt idx="0">
                  <c:v>7500</c:v>
                </c:pt>
                <c:pt idx="1">
                  <c:v>6750</c:v>
                </c:pt>
                <c:pt idx="2">
                  <c:v>6000</c:v>
                </c:pt>
                <c:pt idx="3">
                  <c:v>5250</c:v>
                </c:pt>
                <c:pt idx="4">
                  <c:v>4500</c:v>
                </c:pt>
                <c:pt idx="5">
                  <c:v>3750</c:v>
                </c:pt>
                <c:pt idx="6">
                  <c:v>3000</c:v>
                </c:pt>
                <c:pt idx="7">
                  <c:v>2250</c:v>
                </c:pt>
                <c:pt idx="8">
                  <c:v>1500</c:v>
                </c:pt>
                <c:pt idx="9">
                  <c:v>750</c:v>
                </c:pt>
                <c:pt idx="10">
                  <c:v>0</c:v>
                </c:pt>
              </c:numCache>
            </c:numRef>
          </c:yVal>
          <c:smooth val="1"/>
          <c:extLst>
            <c:ext xmlns:c16="http://schemas.microsoft.com/office/drawing/2014/chart" uri="{C3380CC4-5D6E-409C-BE32-E72D297353CC}">
              <c16:uniqueId val="{00000005-3AE5-4201-B060-12E495D7E17B}"/>
            </c:ext>
          </c:extLst>
        </c:ser>
        <c:dLbls>
          <c:showLegendKey val="0"/>
          <c:showVal val="0"/>
          <c:showCatName val="0"/>
          <c:showSerName val="0"/>
          <c:showPercent val="0"/>
          <c:showBubbleSize val="0"/>
        </c:dLbls>
        <c:axId val="2101982456"/>
        <c:axId val="2101988232"/>
      </c:scatterChart>
      <c:valAx>
        <c:axId val="2101982456"/>
        <c:scaling>
          <c:orientation val="minMax"/>
          <c:max val="12"/>
          <c:min val="3"/>
        </c:scaling>
        <c:delete val="0"/>
        <c:axPos val="b"/>
        <c:title>
          <c:tx>
            <c:rich>
              <a:bodyPr anchor="ctr" anchorCtr="1"/>
              <a:lstStyle/>
              <a:p>
                <a:pPr>
                  <a:defRPr>
                    <a:latin typeface="Arial"/>
                    <a:cs typeface="Arial"/>
                  </a:defRPr>
                </a:pPr>
                <a:r>
                  <a:rPr lang="en-US">
                    <a:latin typeface="Arial"/>
                    <a:cs typeface="Arial"/>
                  </a:rPr>
                  <a:t>Time</a:t>
                </a:r>
              </a:p>
            </c:rich>
          </c:tx>
          <c:overlay val="0"/>
        </c:title>
        <c:numFmt formatCode="General" sourceLinked="1"/>
        <c:majorTickMark val="out"/>
        <c:minorTickMark val="none"/>
        <c:tickLblPos val="none"/>
        <c:spPr>
          <a:ln>
            <a:solidFill>
              <a:schemeClr val="tx1"/>
            </a:solidFill>
          </a:ln>
        </c:spPr>
        <c:crossAx val="2101988232"/>
        <c:crosses val="autoZero"/>
        <c:crossBetween val="midCat"/>
      </c:valAx>
      <c:valAx>
        <c:axId val="2101988232"/>
        <c:scaling>
          <c:orientation val="minMax"/>
          <c:max val="22500"/>
        </c:scaling>
        <c:delete val="0"/>
        <c:axPos val="l"/>
        <c:majorGridlines/>
        <c:minorGridlines/>
        <c:title>
          <c:tx>
            <c:rich>
              <a:bodyPr rot="-5400000" vert="horz"/>
              <a:lstStyle/>
              <a:p>
                <a:pPr>
                  <a:defRPr>
                    <a:latin typeface="Arial"/>
                    <a:cs typeface="Arial"/>
                  </a:defRPr>
                </a:pPr>
                <a:r>
                  <a:rPr lang="en-US">
                    <a:latin typeface="Arial"/>
                    <a:cs typeface="Arial"/>
                  </a:rPr>
                  <a:t>Fluorescence</a:t>
                </a:r>
              </a:p>
            </c:rich>
          </c:tx>
          <c:overlay val="0"/>
        </c:title>
        <c:numFmt formatCode="General" sourceLinked="1"/>
        <c:majorTickMark val="out"/>
        <c:minorTickMark val="none"/>
        <c:tickLblPos val="none"/>
        <c:crossAx val="2101982456"/>
        <c:crosses val="autoZero"/>
        <c:crossBetween val="midCat"/>
        <c:minorUnit val="2500"/>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402</Words>
  <Characters>2296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caleb</dc:creator>
  <cp:keywords/>
  <dc:description/>
  <cp:lastModifiedBy>Laura Francis</cp:lastModifiedBy>
  <cp:revision>4</cp:revision>
  <cp:lastPrinted>2016-10-23T16:26:00Z</cp:lastPrinted>
  <dcterms:created xsi:type="dcterms:W3CDTF">2022-09-24T17:08:00Z</dcterms:created>
  <dcterms:modified xsi:type="dcterms:W3CDTF">2022-10-18T20:15:00Z</dcterms:modified>
</cp:coreProperties>
</file>